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3E9A" w14:textId="77777777" w:rsidR="00CA5872" w:rsidRDefault="00CA5872" w:rsidP="00DA1D28">
      <w:pPr>
        <w:jc w:val="center"/>
        <w:rPr>
          <w:i/>
          <w:iCs/>
          <w:color w:val="201F1E"/>
          <w:u w:val="single"/>
        </w:rPr>
      </w:pPr>
    </w:p>
    <w:p w14:paraId="37DD9B89" w14:textId="4595A9B4" w:rsidR="00DE30F2" w:rsidRPr="008D0CE7" w:rsidRDefault="008D0CE7" w:rsidP="00DA1D28">
      <w:pPr>
        <w:jc w:val="center"/>
        <w:rPr>
          <w:i/>
          <w:iCs/>
          <w:color w:val="201F1E"/>
          <w:u w:val="single"/>
        </w:rPr>
      </w:pPr>
      <w:r w:rsidRPr="008D0CE7">
        <w:rPr>
          <w:i/>
          <w:iCs/>
          <w:color w:val="201F1E"/>
          <w:u w:val="single"/>
        </w:rPr>
        <w:t>D</w:t>
      </w:r>
      <w:r w:rsidR="00DA1D28" w:rsidRPr="008D0CE7">
        <w:rPr>
          <w:i/>
          <w:iCs/>
          <w:color w:val="201F1E"/>
          <w:u w:val="single"/>
        </w:rPr>
        <w:t>r. S.M. Rodriguez</w:t>
      </w:r>
      <w:r w:rsidRPr="008D0CE7">
        <w:rPr>
          <w:i/>
          <w:iCs/>
          <w:color w:val="201F1E"/>
          <w:u w:val="single"/>
        </w:rPr>
        <w:t xml:space="preserve"> – sm.rodriguez@hofstra.edu</w:t>
      </w:r>
    </w:p>
    <w:p w14:paraId="2E69279B" w14:textId="5A86FE57" w:rsidR="00E91D4A" w:rsidRDefault="00E91D4A" w:rsidP="005812B5">
      <w:pPr>
        <w:ind w:firstLine="720"/>
        <w:rPr>
          <w:color w:val="201F1E"/>
        </w:rPr>
      </w:pPr>
      <w:r>
        <w:rPr>
          <w:color w:val="201F1E"/>
        </w:rPr>
        <w:t>Understanding gender and sexuality</w:t>
      </w:r>
      <w:r w:rsidR="00BF2033">
        <w:rPr>
          <w:color w:val="201F1E"/>
        </w:rPr>
        <w:t xml:space="preserve"> today</w:t>
      </w:r>
      <w:r>
        <w:rPr>
          <w:color w:val="201F1E"/>
        </w:rPr>
        <w:t xml:space="preserve"> requires a comprehensive and engaging look into various institutions – particularly 20</w:t>
      </w:r>
      <w:r w:rsidRPr="007E032A">
        <w:rPr>
          <w:color w:val="201F1E"/>
          <w:vertAlign w:val="superscript"/>
        </w:rPr>
        <w:t>th</w:t>
      </w:r>
      <w:r>
        <w:rPr>
          <w:color w:val="201F1E"/>
        </w:rPr>
        <w:t xml:space="preserve"> and 21</w:t>
      </w:r>
      <w:r w:rsidRPr="007E032A">
        <w:rPr>
          <w:color w:val="201F1E"/>
          <w:vertAlign w:val="superscript"/>
        </w:rPr>
        <w:t>st</w:t>
      </w:r>
      <w:r>
        <w:rPr>
          <w:color w:val="201F1E"/>
        </w:rPr>
        <w:t xml:space="preserve"> century governance, kinship, media, and economics. This course will apply a sociological lens to the African continent, attempting not to understand each context of 54 countries, but to deconstruct </w:t>
      </w:r>
      <w:r w:rsidR="009E3305">
        <w:rPr>
          <w:color w:val="201F1E"/>
        </w:rPr>
        <w:t>shared</w:t>
      </w:r>
      <w:r>
        <w:rPr>
          <w:color w:val="201F1E"/>
        </w:rPr>
        <w:t xml:space="preserve"> processes of becoming </w:t>
      </w:r>
      <w:r w:rsidRPr="00E91D4A">
        <w:rPr>
          <w:i/>
          <w:iCs/>
          <w:color w:val="201F1E"/>
        </w:rPr>
        <w:t>gendered</w:t>
      </w:r>
      <w:r>
        <w:rPr>
          <w:color w:val="201F1E"/>
        </w:rPr>
        <w:t xml:space="preserve">, </w:t>
      </w:r>
      <w:r w:rsidRPr="00E91D4A">
        <w:rPr>
          <w:i/>
          <w:iCs/>
          <w:color w:val="201F1E"/>
        </w:rPr>
        <w:t>sexed or sexual</w:t>
      </w:r>
      <w:r>
        <w:rPr>
          <w:color w:val="201F1E"/>
        </w:rPr>
        <w:t xml:space="preserve"> subjects. We will emphasize legal and social movements and pinpoint various impositions of Western ideology and </w:t>
      </w:r>
      <w:r w:rsidR="000B589C">
        <w:rPr>
          <w:color w:val="201F1E"/>
        </w:rPr>
        <w:t>political</w:t>
      </w:r>
      <w:r>
        <w:rPr>
          <w:color w:val="201F1E"/>
        </w:rPr>
        <w:t xml:space="preserve"> control</w:t>
      </w:r>
      <w:r w:rsidR="000B589C">
        <w:rPr>
          <w:color w:val="201F1E"/>
        </w:rPr>
        <w:t>, particularly during colonialism, the AIDS crisis, and</w:t>
      </w:r>
      <w:r w:rsidR="005812B5">
        <w:rPr>
          <w:color w:val="201F1E"/>
        </w:rPr>
        <w:t xml:space="preserve"> early moments of transnational</w:t>
      </w:r>
      <w:r w:rsidR="000B589C">
        <w:rPr>
          <w:color w:val="201F1E"/>
        </w:rPr>
        <w:t xml:space="preserve"> feminism</w:t>
      </w:r>
      <w:r>
        <w:rPr>
          <w:color w:val="201F1E"/>
        </w:rPr>
        <w:t xml:space="preserve">. </w:t>
      </w:r>
    </w:p>
    <w:p w14:paraId="4E97202E" w14:textId="003594B0" w:rsidR="005812B5" w:rsidRPr="006B71D0" w:rsidRDefault="005812B5" w:rsidP="006B71D0">
      <w:pPr>
        <w:ind w:firstLine="720"/>
      </w:pPr>
      <w:r>
        <w:rPr>
          <w:color w:val="201F1E"/>
        </w:rPr>
        <w:t>This course intends to connect Africana Studies, Sociology, Women’s Studies and LGBTQ+ Studies students. While it is an introduction to this particular intersection of gender and sexuality in Africa, it assumes that enrolled students will have some background in one of these fields.</w:t>
      </w:r>
      <w:r w:rsidR="006B71D0">
        <w:rPr>
          <w:color w:val="201F1E"/>
        </w:rPr>
        <w:t xml:space="preserve"> As a </w:t>
      </w:r>
      <w:r w:rsidR="008742F3">
        <w:rPr>
          <w:color w:val="201F1E"/>
        </w:rPr>
        <w:t>social science</w:t>
      </w:r>
      <w:r w:rsidR="006B71D0">
        <w:rPr>
          <w:color w:val="201F1E"/>
        </w:rPr>
        <w:t xml:space="preserve"> course, there will be particular focus on data collection and analysis of legal texts and media portrayals, as well as contemporary social movements. </w:t>
      </w:r>
      <w:r w:rsidR="00214B52">
        <w:rPr>
          <w:color w:val="201F1E"/>
        </w:rPr>
        <w:t>Nevertheless, students will leave the course able to do the following:</w:t>
      </w:r>
    </w:p>
    <w:p w14:paraId="68206805" w14:textId="7B9FDF81" w:rsidR="00214B52" w:rsidRDefault="00214B52" w:rsidP="00214B52">
      <w:pPr>
        <w:pStyle w:val="ListParagraph"/>
        <w:numPr>
          <w:ilvl w:val="0"/>
          <w:numId w:val="1"/>
        </w:numPr>
        <w:rPr>
          <w:color w:val="201F1E"/>
        </w:rPr>
      </w:pPr>
      <w:r>
        <w:rPr>
          <w:color w:val="201F1E"/>
        </w:rPr>
        <w:t>Identify African countries on a map and understand the role of colonial imposition in creating borders</w:t>
      </w:r>
    </w:p>
    <w:p w14:paraId="0D04895D" w14:textId="34052976" w:rsidR="00214B52" w:rsidRDefault="00214B52" w:rsidP="00214B52">
      <w:pPr>
        <w:pStyle w:val="ListParagraph"/>
        <w:numPr>
          <w:ilvl w:val="0"/>
          <w:numId w:val="1"/>
        </w:numPr>
        <w:rPr>
          <w:color w:val="201F1E"/>
        </w:rPr>
      </w:pPr>
      <w:r>
        <w:rPr>
          <w:color w:val="201F1E"/>
        </w:rPr>
        <w:t>Identify key African criticisms, theories and histories of the concepts gender, sex and sexuality</w:t>
      </w:r>
    </w:p>
    <w:p w14:paraId="286CDC0E" w14:textId="394DCE2B" w:rsidR="00214B52" w:rsidRDefault="00214B52" w:rsidP="00214B52">
      <w:pPr>
        <w:pStyle w:val="ListParagraph"/>
        <w:numPr>
          <w:ilvl w:val="0"/>
          <w:numId w:val="1"/>
        </w:numPr>
        <w:rPr>
          <w:color w:val="201F1E"/>
        </w:rPr>
      </w:pPr>
      <w:r>
        <w:rPr>
          <w:color w:val="201F1E"/>
        </w:rPr>
        <w:t xml:space="preserve">Contextualize contemporary sexuality-based social movements </w:t>
      </w:r>
      <w:r w:rsidR="009C1FF2">
        <w:rPr>
          <w:color w:val="201F1E"/>
        </w:rPr>
        <w:t>and identities</w:t>
      </w:r>
    </w:p>
    <w:p w14:paraId="3681EF5D" w14:textId="36FCD9B2" w:rsidR="00214B52" w:rsidRDefault="00214B52" w:rsidP="00214B52">
      <w:pPr>
        <w:pStyle w:val="ListParagraph"/>
        <w:numPr>
          <w:ilvl w:val="0"/>
          <w:numId w:val="1"/>
        </w:numPr>
        <w:rPr>
          <w:color w:val="201F1E"/>
        </w:rPr>
      </w:pPr>
      <w:r>
        <w:rPr>
          <w:color w:val="201F1E"/>
        </w:rPr>
        <w:t xml:space="preserve">Critically examine various Western interventions into sexed and sexual processes in Africa </w:t>
      </w:r>
    </w:p>
    <w:p w14:paraId="0A513B04" w14:textId="778269B9" w:rsidR="00214B52" w:rsidRPr="00214B52" w:rsidRDefault="00214B52" w:rsidP="00214B52">
      <w:pPr>
        <w:pStyle w:val="ListParagraph"/>
        <w:numPr>
          <w:ilvl w:val="0"/>
          <w:numId w:val="1"/>
        </w:numPr>
        <w:rPr>
          <w:color w:val="201F1E"/>
        </w:rPr>
      </w:pPr>
      <w:r>
        <w:rPr>
          <w:color w:val="201F1E"/>
        </w:rPr>
        <w:t>Refute biased notions of African sexuality by using African academic references and perspectives</w:t>
      </w:r>
    </w:p>
    <w:p w14:paraId="0A68A3AB" w14:textId="77777777" w:rsidR="00A15A04" w:rsidRDefault="00A15A04" w:rsidP="00E91D4A">
      <w:pPr>
        <w:rPr>
          <w:color w:val="201F1E"/>
        </w:rPr>
      </w:pPr>
    </w:p>
    <w:p w14:paraId="54E1ADE0" w14:textId="0020AF3B" w:rsidR="00DF78AD" w:rsidRDefault="00DF78AD" w:rsidP="00E91D4A">
      <w:pPr>
        <w:rPr>
          <w:color w:val="201F1E"/>
          <w:u w:val="single"/>
        </w:rPr>
      </w:pPr>
      <w:r w:rsidRPr="00DF78AD">
        <w:rPr>
          <w:color w:val="201F1E"/>
          <w:u w:val="single"/>
        </w:rPr>
        <w:t>Course Agreements</w:t>
      </w:r>
    </w:p>
    <w:p w14:paraId="00EF15AC" w14:textId="60E0AE26" w:rsidR="00DF78AD" w:rsidRDefault="00DF78AD" w:rsidP="00DF78AD">
      <w:pPr>
        <w:ind w:firstLine="720"/>
        <w:rPr>
          <w:color w:val="201F1E"/>
        </w:rPr>
      </w:pPr>
      <w:r>
        <w:rPr>
          <w:color w:val="201F1E"/>
        </w:rPr>
        <w:t>By remaining in this course after receipt of this syllabus, I agree to conduct myself according to the following community standards:</w:t>
      </w:r>
    </w:p>
    <w:p w14:paraId="7FD15CCA" w14:textId="0A8364A8" w:rsidR="00DF78AD" w:rsidRPr="00FB5B9C" w:rsidRDefault="00DF78AD" w:rsidP="00DF78AD">
      <w:pPr>
        <w:pStyle w:val="ListParagraph"/>
        <w:numPr>
          <w:ilvl w:val="0"/>
          <w:numId w:val="3"/>
        </w:numPr>
        <w:rPr>
          <w:color w:val="201F1E"/>
        </w:rPr>
      </w:pPr>
      <w:r>
        <w:rPr>
          <w:b/>
          <w:bCs/>
          <w:i/>
          <w:iCs/>
          <w:color w:val="201F1E"/>
        </w:rPr>
        <w:t xml:space="preserve">I enter this course with a base line of interest. </w:t>
      </w:r>
      <w:r w:rsidRPr="00FB5B9C">
        <w:rPr>
          <w:color w:val="201F1E"/>
        </w:rPr>
        <w:t xml:space="preserve">This is not a mandatory class and, as such, the predominant reason for my attendance should be </w:t>
      </w:r>
      <w:r w:rsidR="00305D5A" w:rsidRPr="00FB5B9C">
        <w:rPr>
          <w:color w:val="201F1E"/>
        </w:rPr>
        <w:t>curiosity</w:t>
      </w:r>
      <w:r w:rsidR="00305D5A">
        <w:rPr>
          <w:color w:val="201F1E"/>
        </w:rPr>
        <w:t xml:space="preserve"> and willingness</w:t>
      </w:r>
      <w:r w:rsidRPr="00FB5B9C">
        <w:rPr>
          <w:color w:val="201F1E"/>
        </w:rPr>
        <w:t xml:space="preserve"> to learn. I will communicate accordingly, even if my strongest interest</w:t>
      </w:r>
      <w:r w:rsidR="009C366C">
        <w:rPr>
          <w:color w:val="201F1E"/>
        </w:rPr>
        <w:t>s</w:t>
      </w:r>
      <w:r w:rsidRPr="00FB5B9C">
        <w:rPr>
          <w:color w:val="201F1E"/>
        </w:rPr>
        <w:t xml:space="preserve"> lie in topic</w:t>
      </w:r>
      <w:r w:rsidR="009C366C">
        <w:rPr>
          <w:color w:val="201F1E"/>
        </w:rPr>
        <w:t>s</w:t>
      </w:r>
      <w:r w:rsidRPr="00FB5B9C">
        <w:rPr>
          <w:color w:val="201F1E"/>
        </w:rPr>
        <w:t xml:space="preserve"> that we are not currently discussing. I understand this will help my peers and our overall </w:t>
      </w:r>
      <w:r w:rsidR="005264A7">
        <w:rPr>
          <w:color w:val="201F1E"/>
        </w:rPr>
        <w:t>classroom</w:t>
      </w:r>
      <w:r w:rsidRPr="00FB5B9C">
        <w:rPr>
          <w:color w:val="201F1E"/>
        </w:rPr>
        <w:t xml:space="preserve"> environment. </w:t>
      </w:r>
    </w:p>
    <w:p w14:paraId="70FFCDA2" w14:textId="7FE84593" w:rsidR="00DF78AD" w:rsidRPr="00FB5B9C" w:rsidRDefault="00DF78AD" w:rsidP="00DF78AD">
      <w:pPr>
        <w:pStyle w:val="ListParagraph"/>
        <w:numPr>
          <w:ilvl w:val="0"/>
          <w:numId w:val="3"/>
        </w:numPr>
        <w:rPr>
          <w:color w:val="201F1E"/>
        </w:rPr>
      </w:pPr>
      <w:r>
        <w:rPr>
          <w:b/>
          <w:bCs/>
          <w:i/>
          <w:iCs/>
          <w:color w:val="201F1E"/>
        </w:rPr>
        <w:t>I will uphold the value of dignity for all African people and interrogate any preconceived ideas that I have, that may articulate otherwise</w:t>
      </w:r>
      <w:r w:rsidRPr="00FB5B9C">
        <w:rPr>
          <w:color w:val="201F1E"/>
        </w:rPr>
        <w:t xml:space="preserve">. I understand that no one is perfect, including myself. I try to understand how I have internalized or projected harm, and will apologize if I have said something harmful in class. </w:t>
      </w:r>
      <w:r w:rsidR="009C366C">
        <w:rPr>
          <w:color w:val="201F1E"/>
        </w:rPr>
        <w:t>I commit to battling</w:t>
      </w:r>
      <w:r w:rsidR="00BA43C7">
        <w:rPr>
          <w:color w:val="201F1E"/>
        </w:rPr>
        <w:t xml:space="preserve"> (even my own)</w:t>
      </w:r>
      <w:r w:rsidR="009C366C">
        <w:rPr>
          <w:color w:val="201F1E"/>
        </w:rPr>
        <w:t xml:space="preserve"> violent ideologies, such as racism, sexism, heterosexism, and transphobia.</w:t>
      </w:r>
      <w:r w:rsidRPr="00FB5B9C">
        <w:rPr>
          <w:color w:val="201F1E"/>
        </w:rPr>
        <w:t xml:space="preserve"> </w:t>
      </w:r>
    </w:p>
    <w:p w14:paraId="7A9BDFCB" w14:textId="518D245F" w:rsidR="00187E38" w:rsidRPr="00701E61" w:rsidRDefault="00FB5B9C" w:rsidP="00187E38">
      <w:pPr>
        <w:pStyle w:val="ListParagraph"/>
        <w:numPr>
          <w:ilvl w:val="0"/>
          <w:numId w:val="3"/>
        </w:numPr>
        <w:rPr>
          <w:color w:val="201F1E"/>
        </w:rPr>
      </w:pPr>
      <w:r w:rsidRPr="00FB5B9C">
        <w:rPr>
          <w:b/>
          <w:bCs/>
          <w:i/>
          <w:iCs/>
          <w:color w:val="201F1E"/>
        </w:rPr>
        <w:t>I agree to display a modicum of grace and humility, even when others don’t know something that I believe we all should know</w:t>
      </w:r>
      <w:r w:rsidRPr="00FB5B9C">
        <w:rPr>
          <w:color w:val="201F1E"/>
        </w:rPr>
        <w:t xml:space="preserve">. I will also extend kindness to myself when I do not know something, and then rigorously apply my learning skills so that I may grasp it. </w:t>
      </w:r>
    </w:p>
    <w:p w14:paraId="7F666AE7" w14:textId="77777777" w:rsidR="00CA5872" w:rsidRDefault="00CA5872" w:rsidP="00187E38">
      <w:pPr>
        <w:rPr>
          <w:b/>
          <w:bCs/>
          <w:color w:val="201F1E"/>
          <w:u w:val="single"/>
        </w:rPr>
      </w:pPr>
    </w:p>
    <w:p w14:paraId="2B911EFF" w14:textId="1A1A561E" w:rsidR="004E04A5" w:rsidRPr="003C2898" w:rsidRDefault="006C70F9" w:rsidP="00187E38">
      <w:pPr>
        <w:rPr>
          <w:b/>
          <w:bCs/>
          <w:color w:val="201F1E"/>
          <w:u w:val="single"/>
        </w:rPr>
      </w:pPr>
      <w:r w:rsidRPr="009509DB">
        <w:rPr>
          <w:b/>
          <w:bCs/>
          <w:color w:val="201F1E"/>
          <w:u w:val="single"/>
        </w:rPr>
        <w:t>Course Assignments</w:t>
      </w:r>
    </w:p>
    <w:p w14:paraId="75E86BE8" w14:textId="26685362" w:rsidR="004E04A5" w:rsidRPr="005E313C" w:rsidRDefault="004E04A5" w:rsidP="00187E38">
      <w:pPr>
        <w:rPr>
          <w:b/>
          <w:bCs/>
          <w:color w:val="201F1E"/>
        </w:rPr>
      </w:pPr>
      <w:r w:rsidRPr="005E313C">
        <w:rPr>
          <w:b/>
          <w:bCs/>
          <w:color w:val="201F1E"/>
        </w:rPr>
        <w:t>2</w:t>
      </w:r>
      <w:r w:rsidR="006C2517" w:rsidRPr="005E313C">
        <w:rPr>
          <w:b/>
          <w:bCs/>
          <w:color w:val="201F1E"/>
        </w:rPr>
        <w:t>0</w:t>
      </w:r>
      <w:r w:rsidRPr="005E313C">
        <w:rPr>
          <w:b/>
          <w:bCs/>
          <w:color w:val="201F1E"/>
        </w:rPr>
        <w:t>% Participation and Attendance</w:t>
      </w:r>
    </w:p>
    <w:p w14:paraId="7ED6A412" w14:textId="5EE3C02B" w:rsidR="003577D5" w:rsidRDefault="00F47D1D" w:rsidP="00380D47">
      <w:pPr>
        <w:ind w:firstLine="720"/>
        <w:rPr>
          <w:color w:val="201F1E"/>
        </w:rPr>
      </w:pPr>
      <w:r w:rsidRPr="005E313C">
        <w:rPr>
          <w:color w:val="201F1E"/>
        </w:rPr>
        <w:t>Both attendance and participation are required in this class; they are not the same!</w:t>
      </w:r>
      <w:r w:rsidR="00870314" w:rsidRPr="005E313C">
        <w:rPr>
          <w:color w:val="201F1E"/>
        </w:rPr>
        <w:t xml:space="preserve"> For the attendance portion of this grade</w:t>
      </w:r>
      <w:r w:rsidR="003577D5">
        <w:rPr>
          <w:color w:val="201F1E"/>
        </w:rPr>
        <w:t xml:space="preserve"> (10%)</w:t>
      </w:r>
      <w:r w:rsidR="00870314" w:rsidRPr="005E313C">
        <w:rPr>
          <w:color w:val="201F1E"/>
        </w:rPr>
        <w:t>, you are expected to arrive on time and give the class your full attention for the entire duration</w:t>
      </w:r>
      <w:r w:rsidR="00AC0494" w:rsidRPr="005E313C">
        <w:rPr>
          <w:color w:val="201F1E"/>
        </w:rPr>
        <w:t xml:space="preserve"> (this means, no distract</w:t>
      </w:r>
      <w:r w:rsidR="00B447E3">
        <w:rPr>
          <w:color w:val="201F1E"/>
        </w:rPr>
        <w:t>ing</w:t>
      </w:r>
      <w:r w:rsidR="0011240F" w:rsidRPr="005E313C">
        <w:rPr>
          <w:color w:val="201F1E"/>
        </w:rPr>
        <w:t>/unrelated</w:t>
      </w:r>
      <w:r w:rsidR="00AC0494" w:rsidRPr="005E313C">
        <w:rPr>
          <w:color w:val="201F1E"/>
        </w:rPr>
        <w:t xml:space="preserve"> phone or internet use</w:t>
      </w:r>
      <w:r w:rsidR="0011240F" w:rsidRPr="005E313C">
        <w:rPr>
          <w:color w:val="201F1E"/>
        </w:rPr>
        <w:t>, outside of emergencies</w:t>
      </w:r>
      <w:r w:rsidR="00AC0494" w:rsidRPr="005E313C">
        <w:rPr>
          <w:color w:val="201F1E"/>
        </w:rPr>
        <w:t>)</w:t>
      </w:r>
      <w:r w:rsidR="00870314" w:rsidRPr="005E313C">
        <w:rPr>
          <w:color w:val="201F1E"/>
        </w:rPr>
        <w:t xml:space="preserve">. </w:t>
      </w:r>
      <w:r w:rsidR="003577D5">
        <w:rPr>
          <w:color w:val="201F1E"/>
        </w:rPr>
        <w:t>After three unexcused absences, your attendance grade will be marked down to, at maximum,</w:t>
      </w:r>
      <w:r w:rsidR="00104213">
        <w:rPr>
          <w:color w:val="201F1E"/>
        </w:rPr>
        <w:t xml:space="preserve"> half of the total possible points</w:t>
      </w:r>
      <w:r w:rsidR="00595074">
        <w:rPr>
          <w:color w:val="201F1E"/>
        </w:rPr>
        <w:t>.</w:t>
      </w:r>
      <w:r w:rsidR="00825265">
        <w:rPr>
          <w:color w:val="201F1E"/>
        </w:rPr>
        <w:t xml:space="preserve"> Five unexcused absences will forfeit your attendance grade and </w:t>
      </w:r>
      <w:r w:rsidR="00E150AF">
        <w:rPr>
          <w:color w:val="201F1E"/>
        </w:rPr>
        <w:t>will</w:t>
      </w:r>
      <w:r w:rsidR="00825265">
        <w:rPr>
          <w:color w:val="201F1E"/>
        </w:rPr>
        <w:t xml:space="preserve"> negatively affect your participation. </w:t>
      </w:r>
      <w:r w:rsidR="00595074">
        <w:rPr>
          <w:color w:val="201F1E"/>
        </w:rPr>
        <w:t xml:space="preserve"> </w:t>
      </w:r>
      <w:r w:rsidR="003577D5">
        <w:rPr>
          <w:color w:val="201F1E"/>
        </w:rPr>
        <w:t xml:space="preserve"> </w:t>
      </w:r>
    </w:p>
    <w:p w14:paraId="7D582926" w14:textId="1A318835" w:rsidR="00870314" w:rsidRDefault="00870314" w:rsidP="00187E38">
      <w:pPr>
        <w:rPr>
          <w:color w:val="201F1E"/>
        </w:rPr>
      </w:pPr>
      <w:r w:rsidRPr="005E313C">
        <w:rPr>
          <w:color w:val="201F1E"/>
        </w:rPr>
        <w:t xml:space="preserve">  </w:t>
      </w:r>
      <w:r w:rsidR="00380D47">
        <w:rPr>
          <w:color w:val="201F1E"/>
        </w:rPr>
        <w:tab/>
      </w:r>
      <w:r w:rsidR="002B719C" w:rsidRPr="005E313C">
        <w:rPr>
          <w:color w:val="201F1E"/>
        </w:rPr>
        <w:t>Your participation grade is determined by your preparation (</w:t>
      </w:r>
      <w:proofErr w:type="gramStart"/>
      <w:r w:rsidR="002B719C" w:rsidRPr="005E313C">
        <w:rPr>
          <w:color w:val="201F1E"/>
        </w:rPr>
        <w:t>i.e.</w:t>
      </w:r>
      <w:proofErr w:type="gramEnd"/>
      <w:r w:rsidR="002B719C" w:rsidRPr="005E313C">
        <w:rPr>
          <w:color w:val="201F1E"/>
        </w:rPr>
        <w:t xml:space="preserve"> your material digest), contribution to discussion and peer learning, and your informed responses to </w:t>
      </w:r>
      <w:r w:rsidR="008B2CEA" w:rsidRPr="005E313C">
        <w:rPr>
          <w:color w:val="201F1E"/>
        </w:rPr>
        <w:t>questions asked by Professor Rodriguez, guest lecturers and your peers.</w:t>
      </w:r>
    </w:p>
    <w:p w14:paraId="2A2C075E" w14:textId="3F3895C0" w:rsidR="00825265" w:rsidRPr="005E313C" w:rsidRDefault="00825265" w:rsidP="00380D47">
      <w:pPr>
        <w:ind w:firstLine="720"/>
        <w:rPr>
          <w:color w:val="201F1E"/>
        </w:rPr>
      </w:pPr>
      <w:r>
        <w:rPr>
          <w:color w:val="201F1E"/>
        </w:rPr>
        <w:t xml:space="preserve">Exceptions: </w:t>
      </w:r>
      <w:r w:rsidRPr="005E313C">
        <w:rPr>
          <w:color w:val="201F1E"/>
        </w:rPr>
        <w:t>If material is emotionally challenging, you can take space for a short period of rest. If our discussion includes sexual violence, there are alternative ways to “show up”</w:t>
      </w:r>
      <w:r w:rsidR="00BA051E">
        <w:rPr>
          <w:color w:val="201F1E"/>
        </w:rPr>
        <w:t xml:space="preserve"> that we can negotiate privately</w:t>
      </w:r>
      <w:r w:rsidRPr="005E313C">
        <w:rPr>
          <w:color w:val="201F1E"/>
        </w:rPr>
        <w:t>. Survivors: you are not expected to sacrifice your health for any learning material. Students with disabilities: you will never be penalized for stating your needs and co-creating the best learning environment for you</w:t>
      </w:r>
      <w:r>
        <w:rPr>
          <w:color w:val="201F1E"/>
        </w:rPr>
        <w:t xml:space="preserve"> </w:t>
      </w:r>
      <w:r w:rsidRPr="005E313C">
        <w:rPr>
          <w:color w:val="201F1E"/>
        </w:rPr>
        <w:t>(with me!)</w:t>
      </w:r>
      <w:r>
        <w:rPr>
          <w:color w:val="201F1E"/>
        </w:rPr>
        <w:t>.</w:t>
      </w:r>
      <w:r w:rsidRPr="005E313C">
        <w:rPr>
          <w:color w:val="201F1E"/>
        </w:rPr>
        <w:t xml:space="preserve"> </w:t>
      </w:r>
      <w:r>
        <w:rPr>
          <w:color w:val="201F1E"/>
        </w:rPr>
        <w:t xml:space="preserve">Please discuss at the start of </w:t>
      </w:r>
      <w:r w:rsidR="00211637">
        <w:rPr>
          <w:color w:val="201F1E"/>
        </w:rPr>
        <w:t>the semester</w:t>
      </w:r>
      <w:r>
        <w:rPr>
          <w:color w:val="201F1E"/>
        </w:rPr>
        <w:t xml:space="preserve"> any accommodations that </w:t>
      </w:r>
      <w:r w:rsidR="00211637">
        <w:rPr>
          <w:color w:val="201F1E"/>
        </w:rPr>
        <w:t>may</w:t>
      </w:r>
      <w:r>
        <w:rPr>
          <w:color w:val="201F1E"/>
        </w:rPr>
        <w:t xml:space="preserve"> help you </w:t>
      </w:r>
      <w:r w:rsidR="00211637">
        <w:rPr>
          <w:color w:val="201F1E"/>
        </w:rPr>
        <w:t>succeed.</w:t>
      </w:r>
      <w:r>
        <w:rPr>
          <w:color w:val="201F1E"/>
        </w:rPr>
        <w:t xml:space="preserve"> </w:t>
      </w:r>
    </w:p>
    <w:p w14:paraId="4F33F44D" w14:textId="77777777" w:rsidR="00870314" w:rsidRPr="005E313C" w:rsidRDefault="00870314" w:rsidP="00187E38">
      <w:pPr>
        <w:rPr>
          <w:color w:val="201F1E"/>
        </w:rPr>
      </w:pPr>
    </w:p>
    <w:p w14:paraId="6CC0416B" w14:textId="132432E2" w:rsidR="004E04A5" w:rsidRPr="005E313C" w:rsidRDefault="004E04A5" w:rsidP="00187E38">
      <w:pPr>
        <w:rPr>
          <w:b/>
          <w:bCs/>
          <w:color w:val="201F1E"/>
        </w:rPr>
      </w:pPr>
      <w:r w:rsidRPr="005E313C">
        <w:rPr>
          <w:b/>
          <w:bCs/>
          <w:color w:val="201F1E"/>
        </w:rPr>
        <w:t>25% Material Digest:</w:t>
      </w:r>
    </w:p>
    <w:p w14:paraId="5DCBB4F2" w14:textId="2289E943" w:rsidR="00187E38" w:rsidRPr="005E313C" w:rsidRDefault="0042055B" w:rsidP="00187E38">
      <w:pPr>
        <w:rPr>
          <w:color w:val="201F1E"/>
        </w:rPr>
      </w:pPr>
      <w:r w:rsidRPr="005E313C">
        <w:rPr>
          <w:color w:val="201F1E"/>
        </w:rPr>
        <w:t xml:space="preserve">Students will submit to the discussion board </w:t>
      </w:r>
      <w:r w:rsidR="00673300" w:rsidRPr="005E313C">
        <w:rPr>
          <w:color w:val="201F1E"/>
        </w:rPr>
        <w:t xml:space="preserve">before class, once a </w:t>
      </w:r>
      <w:r w:rsidRPr="005E313C">
        <w:rPr>
          <w:color w:val="201F1E"/>
        </w:rPr>
        <w:t>week</w:t>
      </w:r>
      <w:r w:rsidR="00673300" w:rsidRPr="005E313C">
        <w:rPr>
          <w:color w:val="201F1E"/>
        </w:rPr>
        <w:t>,</w:t>
      </w:r>
      <w:r w:rsidRPr="005E313C">
        <w:rPr>
          <w:color w:val="201F1E"/>
        </w:rPr>
        <w:t xml:space="preserve"> the answers to the following questions:</w:t>
      </w:r>
    </w:p>
    <w:p w14:paraId="73FA535A" w14:textId="259B53A9" w:rsidR="0042055B" w:rsidRPr="005E313C" w:rsidRDefault="0042055B" w:rsidP="0042055B">
      <w:pPr>
        <w:pStyle w:val="ListParagraph"/>
        <w:numPr>
          <w:ilvl w:val="0"/>
          <w:numId w:val="4"/>
        </w:numPr>
        <w:rPr>
          <w:color w:val="201F1E"/>
        </w:rPr>
      </w:pPr>
      <w:r w:rsidRPr="005E313C">
        <w:rPr>
          <w:color w:val="201F1E"/>
        </w:rPr>
        <w:t xml:space="preserve">What was the thesis of the text? If a film or otherwise artistic material, what was the main topic? </w:t>
      </w:r>
    </w:p>
    <w:p w14:paraId="52E535BD" w14:textId="3BEBFEDC" w:rsidR="0042055B" w:rsidRPr="005E313C" w:rsidRDefault="0042055B" w:rsidP="0042055B">
      <w:pPr>
        <w:pStyle w:val="ListParagraph"/>
        <w:numPr>
          <w:ilvl w:val="0"/>
          <w:numId w:val="4"/>
        </w:numPr>
        <w:rPr>
          <w:color w:val="201F1E"/>
        </w:rPr>
      </w:pPr>
      <w:r w:rsidRPr="005E313C">
        <w:rPr>
          <w:color w:val="201F1E"/>
        </w:rPr>
        <w:t>What are the data used to provide evidence for the claims?</w:t>
      </w:r>
    </w:p>
    <w:p w14:paraId="679D0793" w14:textId="180FCF86" w:rsidR="0042055B" w:rsidRPr="005E313C" w:rsidRDefault="0042055B" w:rsidP="0042055B">
      <w:pPr>
        <w:pStyle w:val="ListParagraph"/>
        <w:numPr>
          <w:ilvl w:val="0"/>
          <w:numId w:val="4"/>
        </w:numPr>
        <w:rPr>
          <w:color w:val="201F1E"/>
        </w:rPr>
      </w:pPr>
      <w:r w:rsidRPr="005E313C">
        <w:rPr>
          <w:color w:val="201F1E"/>
        </w:rPr>
        <w:t xml:space="preserve">What did I find most memorable? </w:t>
      </w:r>
    </w:p>
    <w:p w14:paraId="319918AE" w14:textId="399A356F" w:rsidR="004F7E17" w:rsidRPr="005E313C" w:rsidRDefault="004F7E17" w:rsidP="0042055B">
      <w:pPr>
        <w:pStyle w:val="ListParagraph"/>
        <w:numPr>
          <w:ilvl w:val="0"/>
          <w:numId w:val="4"/>
        </w:numPr>
        <w:rPr>
          <w:color w:val="201F1E"/>
        </w:rPr>
      </w:pPr>
      <w:r w:rsidRPr="005E313C">
        <w:rPr>
          <w:color w:val="201F1E"/>
        </w:rPr>
        <w:t xml:space="preserve">What did I find most confusing or challenging? </w:t>
      </w:r>
    </w:p>
    <w:p w14:paraId="7A6A6473" w14:textId="19B401F0" w:rsidR="0042055B" w:rsidRPr="005E313C" w:rsidRDefault="0042055B" w:rsidP="0042055B">
      <w:pPr>
        <w:pStyle w:val="ListParagraph"/>
        <w:numPr>
          <w:ilvl w:val="0"/>
          <w:numId w:val="4"/>
        </w:numPr>
        <w:rPr>
          <w:color w:val="201F1E"/>
        </w:rPr>
      </w:pPr>
      <w:r w:rsidRPr="005E313C">
        <w:rPr>
          <w:color w:val="201F1E"/>
        </w:rPr>
        <w:t>How does this connect to a previous material?</w:t>
      </w:r>
    </w:p>
    <w:p w14:paraId="29BB160D" w14:textId="4CA98605" w:rsidR="00FE60FD" w:rsidRPr="005E313C" w:rsidRDefault="00FE60FD" w:rsidP="0042055B">
      <w:pPr>
        <w:pStyle w:val="ListParagraph"/>
        <w:numPr>
          <w:ilvl w:val="0"/>
          <w:numId w:val="4"/>
        </w:numPr>
        <w:rPr>
          <w:color w:val="201F1E"/>
        </w:rPr>
      </w:pPr>
      <w:r w:rsidRPr="005E313C">
        <w:rPr>
          <w:color w:val="201F1E"/>
        </w:rPr>
        <w:t>If we have a guest speaker: Prepare a short statement about what you appreciate about their writing, activism, or art. Submit two questions ahead of time.</w:t>
      </w:r>
    </w:p>
    <w:p w14:paraId="29F96D3E" w14:textId="79896F9E" w:rsidR="00DF78AD" w:rsidRPr="005E313C" w:rsidRDefault="00DF78AD" w:rsidP="00E91D4A">
      <w:pPr>
        <w:rPr>
          <w:color w:val="201F1E"/>
        </w:rPr>
      </w:pPr>
    </w:p>
    <w:p w14:paraId="2F232666" w14:textId="76C8F7AA" w:rsidR="006C2517" w:rsidRPr="005E313C" w:rsidRDefault="006C2517" w:rsidP="00E91D4A">
      <w:pPr>
        <w:rPr>
          <w:b/>
          <w:bCs/>
          <w:color w:val="201F1E"/>
        </w:rPr>
      </w:pPr>
      <w:r w:rsidRPr="005E313C">
        <w:rPr>
          <w:b/>
          <w:bCs/>
          <w:color w:val="201F1E"/>
        </w:rPr>
        <w:t>5% Map Test</w:t>
      </w:r>
    </w:p>
    <w:p w14:paraId="16D225AD" w14:textId="4588BDB6" w:rsidR="006C2517" w:rsidRPr="005E313C" w:rsidRDefault="006C2517" w:rsidP="00380D47">
      <w:pPr>
        <w:rPr>
          <w:color w:val="201F1E"/>
        </w:rPr>
      </w:pPr>
      <w:r w:rsidRPr="005E313C">
        <w:rPr>
          <w:color w:val="201F1E"/>
        </w:rPr>
        <w:t>You will need to successfully pass a map quiz for this class, testing your ability to recognize and place African countries on a map. There will be several designated days for you to attempt this, but you will be required to complete it</w:t>
      </w:r>
      <w:r w:rsidR="00A10516">
        <w:rPr>
          <w:color w:val="201F1E"/>
        </w:rPr>
        <w:t xml:space="preserve"> and earn at least 70%</w:t>
      </w:r>
      <w:r w:rsidRPr="005E313C">
        <w:rPr>
          <w:color w:val="201F1E"/>
        </w:rPr>
        <w:t xml:space="preserve"> by a specified deadline. </w:t>
      </w:r>
    </w:p>
    <w:p w14:paraId="3608044A" w14:textId="77777777" w:rsidR="006C2517" w:rsidRPr="005E313C" w:rsidRDefault="006C2517" w:rsidP="00E91D4A">
      <w:pPr>
        <w:rPr>
          <w:color w:val="201F1E"/>
        </w:rPr>
      </w:pPr>
    </w:p>
    <w:p w14:paraId="7A28B872" w14:textId="543E7355" w:rsidR="002F3924" w:rsidRPr="008F3B26" w:rsidRDefault="004E04A5" w:rsidP="00E91D4A">
      <w:pPr>
        <w:rPr>
          <w:b/>
          <w:bCs/>
          <w:color w:val="201F1E"/>
        </w:rPr>
      </w:pPr>
      <w:r w:rsidRPr="005E313C">
        <w:rPr>
          <w:b/>
          <w:bCs/>
          <w:color w:val="201F1E"/>
        </w:rPr>
        <w:t>15% Reflection</w:t>
      </w:r>
      <w:r w:rsidR="001B10CF" w:rsidRPr="005E313C">
        <w:rPr>
          <w:b/>
          <w:bCs/>
          <w:color w:val="201F1E"/>
        </w:rPr>
        <w:t xml:space="preserve"> </w:t>
      </w:r>
      <w:r w:rsidR="003E4C6C" w:rsidRPr="005E313C">
        <w:rPr>
          <w:b/>
          <w:bCs/>
          <w:color w:val="201F1E"/>
        </w:rPr>
        <w:t>Vlog, Podcast or In-Person Share</w:t>
      </w:r>
    </w:p>
    <w:p w14:paraId="1809A161" w14:textId="054B4D06" w:rsidR="003E4C6C" w:rsidRPr="005E313C" w:rsidRDefault="003E4C6C" w:rsidP="00E91D4A">
      <w:pPr>
        <w:rPr>
          <w:color w:val="201F1E"/>
        </w:rPr>
      </w:pPr>
      <w:r w:rsidRPr="005E313C">
        <w:rPr>
          <w:color w:val="201F1E"/>
        </w:rPr>
        <w:t xml:space="preserve">Twice over the course of the semester will you have to present, podcast or vlog a “share” that shows how a creative work or article assigned has reflected the times. For example, you’ve seen an incident in the news or on social media that would be well explained by an article or book read in class. These should last for at least 15 minutes each and be engaging, concise and analytical. </w:t>
      </w:r>
    </w:p>
    <w:p w14:paraId="61E2C8CE" w14:textId="379E68C9" w:rsidR="008F3B26" w:rsidRDefault="008F3B26" w:rsidP="00E91D4A">
      <w:pPr>
        <w:rPr>
          <w:b/>
          <w:bCs/>
          <w:color w:val="201F1E"/>
        </w:rPr>
      </w:pPr>
    </w:p>
    <w:p w14:paraId="5326A6B5" w14:textId="77777777" w:rsidR="00CA5872" w:rsidRDefault="00CA5872" w:rsidP="00E91D4A">
      <w:pPr>
        <w:rPr>
          <w:b/>
          <w:bCs/>
          <w:color w:val="201F1E"/>
        </w:rPr>
      </w:pPr>
    </w:p>
    <w:p w14:paraId="687CE440" w14:textId="545BD40D" w:rsidR="00F14DDA" w:rsidRPr="005E313C" w:rsidRDefault="00F14DDA" w:rsidP="00E91D4A">
      <w:pPr>
        <w:rPr>
          <w:b/>
          <w:bCs/>
          <w:color w:val="201F1E"/>
        </w:rPr>
      </w:pPr>
      <w:r w:rsidRPr="005E313C">
        <w:rPr>
          <w:b/>
          <w:bCs/>
          <w:color w:val="201F1E"/>
        </w:rPr>
        <w:lastRenderedPageBreak/>
        <w:t xml:space="preserve">10% Midterm </w:t>
      </w:r>
    </w:p>
    <w:p w14:paraId="3023858E" w14:textId="52B75CCE" w:rsidR="00F14DDA" w:rsidRPr="005E313C" w:rsidRDefault="002D627D" w:rsidP="00E91D4A">
      <w:pPr>
        <w:rPr>
          <w:color w:val="201F1E"/>
        </w:rPr>
      </w:pPr>
      <w:r w:rsidRPr="005E313C">
        <w:rPr>
          <w:color w:val="201F1E"/>
        </w:rPr>
        <w:t xml:space="preserve">The midterm will consist of roughly 25 multiple choice questions, covering all of the materials from weeks 1-6. </w:t>
      </w:r>
    </w:p>
    <w:p w14:paraId="5F70372E" w14:textId="77777777" w:rsidR="00630FA8" w:rsidRPr="005E313C" w:rsidRDefault="00630FA8" w:rsidP="00E91D4A">
      <w:pPr>
        <w:rPr>
          <w:color w:val="201F1E"/>
        </w:rPr>
      </w:pPr>
    </w:p>
    <w:p w14:paraId="0B0BC542" w14:textId="3FADAF44" w:rsidR="002F3924" w:rsidRPr="005E313C" w:rsidRDefault="00F14DDA" w:rsidP="00E91D4A">
      <w:pPr>
        <w:rPr>
          <w:b/>
          <w:bCs/>
          <w:color w:val="201F1E"/>
        </w:rPr>
      </w:pPr>
      <w:r w:rsidRPr="005E313C">
        <w:rPr>
          <w:b/>
          <w:bCs/>
          <w:color w:val="201F1E"/>
        </w:rPr>
        <w:t>2</w:t>
      </w:r>
      <w:r w:rsidR="004E04A5" w:rsidRPr="005E313C">
        <w:rPr>
          <w:b/>
          <w:bCs/>
          <w:color w:val="201F1E"/>
        </w:rPr>
        <w:t xml:space="preserve">5% </w:t>
      </w:r>
      <w:r w:rsidR="001B10CF" w:rsidRPr="005E313C">
        <w:rPr>
          <w:b/>
          <w:bCs/>
          <w:color w:val="201F1E"/>
        </w:rPr>
        <w:t>Research Paper</w:t>
      </w:r>
      <w:r w:rsidR="008032D3" w:rsidRPr="005E313C">
        <w:rPr>
          <w:b/>
          <w:bCs/>
          <w:color w:val="201F1E"/>
        </w:rPr>
        <w:t xml:space="preserve"> or </w:t>
      </w:r>
      <w:r w:rsidR="00A10E07">
        <w:rPr>
          <w:b/>
          <w:bCs/>
          <w:color w:val="201F1E"/>
        </w:rPr>
        <w:t>Final Exam</w:t>
      </w:r>
    </w:p>
    <w:p w14:paraId="271ABCE8" w14:textId="0A2820BC" w:rsidR="002F3924" w:rsidRDefault="00B23E71" w:rsidP="00E91D4A">
      <w:pPr>
        <w:rPr>
          <w:color w:val="201F1E"/>
        </w:rPr>
      </w:pPr>
      <w:r w:rsidRPr="005E313C">
        <w:rPr>
          <w:color w:val="201F1E"/>
        </w:rPr>
        <w:t>Research Paper</w:t>
      </w:r>
      <w:r w:rsidR="00D839BF" w:rsidRPr="005E313C">
        <w:rPr>
          <w:color w:val="201F1E"/>
        </w:rPr>
        <w:t xml:space="preserve"> Option: You and </w:t>
      </w:r>
      <w:r w:rsidRPr="005E313C">
        <w:rPr>
          <w:color w:val="201F1E"/>
        </w:rPr>
        <w:t>up to two teammates</w:t>
      </w:r>
      <w:r w:rsidR="002F3924" w:rsidRPr="005E313C">
        <w:rPr>
          <w:color w:val="201F1E"/>
        </w:rPr>
        <w:t xml:space="preserve"> </w:t>
      </w:r>
      <w:r w:rsidR="000D7ADB" w:rsidRPr="005E313C">
        <w:rPr>
          <w:color w:val="201F1E"/>
        </w:rPr>
        <w:t xml:space="preserve">will take a topic of interest </w:t>
      </w:r>
      <w:r w:rsidR="00D839BF" w:rsidRPr="005E313C">
        <w:rPr>
          <w:color w:val="201F1E"/>
        </w:rPr>
        <w:t xml:space="preserve">and meet </w:t>
      </w:r>
      <w:r w:rsidR="004943FA" w:rsidRPr="005E313C">
        <w:rPr>
          <w:color w:val="201F1E"/>
        </w:rPr>
        <w:t>four</w:t>
      </w:r>
      <w:r w:rsidR="00D839BF" w:rsidRPr="005E313C">
        <w:rPr>
          <w:color w:val="201F1E"/>
        </w:rPr>
        <w:t xml:space="preserve"> deadlines in order to build a coherent, evidence-based exposition or argument related to sexuality, sex or gender in Africa. </w:t>
      </w:r>
      <w:r w:rsidR="004943FA" w:rsidRPr="005E313C">
        <w:rPr>
          <w:color w:val="201F1E"/>
        </w:rPr>
        <w:t xml:space="preserve">The first deadline will be to submit a refined thesis statement. The second, an outline </w:t>
      </w:r>
      <w:r w:rsidR="0040523A" w:rsidRPr="005E313C">
        <w:rPr>
          <w:color w:val="201F1E"/>
        </w:rPr>
        <w:t xml:space="preserve">which includes the type of data you will collect </w:t>
      </w:r>
      <w:r w:rsidR="004943FA" w:rsidRPr="005E313C">
        <w:rPr>
          <w:color w:val="201F1E"/>
        </w:rPr>
        <w:t xml:space="preserve">and your annotated bibliography, which is a document that includes brief overviews of </w:t>
      </w:r>
      <w:r w:rsidR="00C205FA" w:rsidRPr="005E313C">
        <w:rPr>
          <w:color w:val="201F1E"/>
        </w:rPr>
        <w:t>the</w:t>
      </w:r>
      <w:r w:rsidR="004943FA" w:rsidRPr="005E313C">
        <w:rPr>
          <w:color w:val="201F1E"/>
        </w:rPr>
        <w:t xml:space="preserve"> key sources</w:t>
      </w:r>
      <w:r w:rsidR="00C205FA" w:rsidRPr="005E313C">
        <w:rPr>
          <w:color w:val="201F1E"/>
        </w:rPr>
        <w:t xml:space="preserve"> that support your paper</w:t>
      </w:r>
      <w:r w:rsidR="004943FA" w:rsidRPr="005E313C">
        <w:rPr>
          <w:color w:val="201F1E"/>
        </w:rPr>
        <w:t>. On your</w:t>
      </w:r>
      <w:r w:rsidR="004943FA">
        <w:rPr>
          <w:color w:val="201F1E"/>
        </w:rPr>
        <w:t xml:space="preserve"> third deadline, you will be expected to have written a draft of your paper, which will be peer reviewed</w:t>
      </w:r>
      <w:r w:rsidR="00136D2F">
        <w:rPr>
          <w:color w:val="201F1E"/>
        </w:rPr>
        <w:t xml:space="preserve"> before your final deadline, which is when you </w:t>
      </w:r>
      <w:r w:rsidR="004943FA">
        <w:rPr>
          <w:color w:val="201F1E"/>
        </w:rPr>
        <w:t>will turn in your final</w:t>
      </w:r>
      <w:r w:rsidR="00136D2F">
        <w:rPr>
          <w:color w:val="201F1E"/>
        </w:rPr>
        <w:t>, revised</w:t>
      </w:r>
      <w:r w:rsidR="00D62596">
        <w:rPr>
          <w:color w:val="201F1E"/>
        </w:rPr>
        <w:t xml:space="preserve">, </w:t>
      </w:r>
      <w:r w:rsidR="004943FA">
        <w:rPr>
          <w:color w:val="201F1E"/>
        </w:rPr>
        <w:t xml:space="preserve">paper. </w:t>
      </w:r>
      <w:r w:rsidR="00F14DDA">
        <w:rPr>
          <w:color w:val="201F1E"/>
        </w:rPr>
        <w:t>For solo authors, this paper is 5-6 pages</w:t>
      </w:r>
      <w:r w:rsidR="00332785">
        <w:rPr>
          <w:color w:val="201F1E"/>
        </w:rPr>
        <w:t>; f</w:t>
      </w:r>
      <w:r w:rsidR="00F14DDA">
        <w:rPr>
          <w:color w:val="201F1E"/>
        </w:rPr>
        <w:t>or a team, 8-10 pages.</w:t>
      </w:r>
    </w:p>
    <w:p w14:paraId="3B391DD8" w14:textId="77EA9188" w:rsidR="00343123" w:rsidRDefault="00343123" w:rsidP="00E91D4A">
      <w:pPr>
        <w:rPr>
          <w:color w:val="201F1E"/>
        </w:rPr>
      </w:pPr>
    </w:p>
    <w:p w14:paraId="7E981F8C" w14:textId="70FCE536" w:rsidR="00343123" w:rsidRDefault="00CA38E2" w:rsidP="00CA38E2">
      <w:pPr>
        <w:rPr>
          <w:color w:val="201F1E"/>
        </w:rPr>
      </w:pPr>
      <w:r>
        <w:rPr>
          <w:color w:val="201F1E"/>
        </w:rPr>
        <w:t>Test</w:t>
      </w:r>
      <w:r w:rsidR="008861D8">
        <w:rPr>
          <w:color w:val="201F1E"/>
        </w:rPr>
        <w:t xml:space="preserve"> Option</w:t>
      </w:r>
      <w:r>
        <w:rPr>
          <w:color w:val="201F1E"/>
        </w:rPr>
        <w:t>: As an alternative to the research paper option, you can choose to take a final</w:t>
      </w:r>
      <w:r w:rsidR="00F22C65">
        <w:rPr>
          <w:color w:val="201F1E"/>
        </w:rPr>
        <w:t>, multiple choice exam</w:t>
      </w:r>
      <w:r>
        <w:rPr>
          <w:color w:val="201F1E"/>
        </w:rPr>
        <w:t xml:space="preserve">. You must make this decision by the </w:t>
      </w:r>
      <w:r w:rsidR="006632ED">
        <w:rPr>
          <w:color w:val="201F1E"/>
        </w:rPr>
        <w:t>fifth</w:t>
      </w:r>
      <w:r>
        <w:rPr>
          <w:color w:val="201F1E"/>
        </w:rPr>
        <w:t xml:space="preserve"> week of class. </w:t>
      </w:r>
    </w:p>
    <w:p w14:paraId="26EB954B" w14:textId="77777777" w:rsidR="00CA38E2" w:rsidRDefault="00CA38E2" w:rsidP="00CA38E2">
      <w:pPr>
        <w:rPr>
          <w:color w:val="201F1E"/>
        </w:rPr>
      </w:pPr>
    </w:p>
    <w:p w14:paraId="1AEC7E2B" w14:textId="1E127909" w:rsidR="00343123" w:rsidRDefault="00343123" w:rsidP="00E91D4A">
      <w:pPr>
        <w:rPr>
          <w:color w:val="201F1E"/>
        </w:rPr>
      </w:pPr>
    </w:p>
    <w:p w14:paraId="45BA00FF" w14:textId="76001A2D" w:rsidR="006C2517" w:rsidRPr="006C2517" w:rsidRDefault="006C2517" w:rsidP="00E91D4A">
      <w:pPr>
        <w:rPr>
          <w:b/>
          <w:bCs/>
          <w:color w:val="201F1E"/>
          <w:u w:val="single"/>
        </w:rPr>
      </w:pPr>
      <w:r w:rsidRPr="006C2517">
        <w:rPr>
          <w:b/>
          <w:bCs/>
          <w:color w:val="201F1E"/>
          <w:u w:val="single"/>
        </w:rPr>
        <w:t>Calendar</w:t>
      </w:r>
    </w:p>
    <w:p w14:paraId="26CA4413" w14:textId="364ECC0C" w:rsidR="00DE3BF3" w:rsidRDefault="006C2517" w:rsidP="00E91D4A">
      <w:pPr>
        <w:rPr>
          <w:color w:val="201F1E"/>
        </w:rPr>
      </w:pPr>
      <w:r>
        <w:rPr>
          <w:color w:val="201F1E"/>
        </w:rPr>
        <w:t>Week 1</w:t>
      </w:r>
      <w:r w:rsidR="00DE3BF3">
        <w:rPr>
          <w:color w:val="201F1E"/>
        </w:rPr>
        <w:tab/>
        <w:t>Africa is a Continent; African is an Identity</w:t>
      </w:r>
    </w:p>
    <w:p w14:paraId="0B91D084" w14:textId="5E9424BE" w:rsidR="006C2517" w:rsidRDefault="00DE3BF3" w:rsidP="00E91D4A">
      <w:pPr>
        <w:rPr>
          <w:color w:val="201F1E"/>
        </w:rPr>
      </w:pPr>
      <w:r>
        <w:rPr>
          <w:color w:val="201F1E"/>
        </w:rPr>
        <w:t xml:space="preserve">Week </w:t>
      </w:r>
      <w:r w:rsidR="006C2517">
        <w:rPr>
          <w:color w:val="201F1E"/>
        </w:rPr>
        <w:t>2</w:t>
      </w:r>
      <w:r w:rsidR="00D90285">
        <w:rPr>
          <w:color w:val="201F1E"/>
        </w:rPr>
        <w:tab/>
      </w:r>
      <w:r>
        <w:rPr>
          <w:color w:val="201F1E"/>
        </w:rPr>
        <w:t>African Feminisms</w:t>
      </w:r>
    </w:p>
    <w:p w14:paraId="772FC3A7" w14:textId="44252E82" w:rsidR="00D90285" w:rsidRDefault="00D90285" w:rsidP="00E91D4A">
      <w:pPr>
        <w:rPr>
          <w:color w:val="201F1E"/>
        </w:rPr>
      </w:pPr>
      <w:r>
        <w:rPr>
          <w:color w:val="201F1E"/>
        </w:rPr>
        <w:t>Week 3</w:t>
      </w:r>
      <w:r>
        <w:rPr>
          <w:color w:val="201F1E"/>
        </w:rPr>
        <w:tab/>
      </w:r>
      <w:r w:rsidR="0074790A">
        <w:rPr>
          <w:color w:val="201F1E"/>
        </w:rPr>
        <w:t>Imagining the African Body</w:t>
      </w:r>
    </w:p>
    <w:p w14:paraId="74021862" w14:textId="6F1854E2" w:rsidR="00D90285" w:rsidRDefault="00D90285" w:rsidP="00E91D4A">
      <w:pPr>
        <w:rPr>
          <w:color w:val="201F1E"/>
        </w:rPr>
      </w:pPr>
      <w:r>
        <w:rPr>
          <w:color w:val="201F1E"/>
        </w:rPr>
        <w:t>Week 4</w:t>
      </w:r>
      <w:r>
        <w:rPr>
          <w:color w:val="201F1E"/>
        </w:rPr>
        <w:tab/>
      </w:r>
      <w:r w:rsidR="00A62364">
        <w:rPr>
          <w:color w:val="201F1E"/>
        </w:rPr>
        <w:t>Performances of</w:t>
      </w:r>
      <w:r>
        <w:rPr>
          <w:color w:val="201F1E"/>
        </w:rPr>
        <w:t xml:space="preserve"> Gender</w:t>
      </w:r>
      <w:r w:rsidR="00A62364">
        <w:rPr>
          <w:color w:val="201F1E"/>
        </w:rPr>
        <w:t xml:space="preserve"> and Sex</w:t>
      </w:r>
    </w:p>
    <w:p w14:paraId="5E620B80" w14:textId="5F3406E4" w:rsidR="00D90285" w:rsidRDefault="00D90285" w:rsidP="00E91D4A">
      <w:pPr>
        <w:rPr>
          <w:color w:val="201F1E"/>
        </w:rPr>
      </w:pPr>
      <w:r>
        <w:rPr>
          <w:color w:val="201F1E"/>
        </w:rPr>
        <w:t>Week</w:t>
      </w:r>
      <w:r w:rsidR="00D34802">
        <w:rPr>
          <w:color w:val="201F1E"/>
        </w:rPr>
        <w:t>s</w:t>
      </w:r>
      <w:r>
        <w:rPr>
          <w:color w:val="201F1E"/>
        </w:rPr>
        <w:t xml:space="preserve"> 5</w:t>
      </w:r>
      <w:r w:rsidR="0074790A">
        <w:rPr>
          <w:color w:val="201F1E"/>
        </w:rPr>
        <w:t>-</w:t>
      </w:r>
      <w:r w:rsidR="00D34802">
        <w:rPr>
          <w:color w:val="201F1E"/>
        </w:rPr>
        <w:t>6</w:t>
      </w:r>
      <w:r>
        <w:rPr>
          <w:color w:val="201F1E"/>
        </w:rPr>
        <w:tab/>
      </w:r>
      <w:r w:rsidR="00D93D98">
        <w:rPr>
          <w:color w:val="201F1E"/>
        </w:rPr>
        <w:t xml:space="preserve">Regulating and </w:t>
      </w:r>
      <w:r w:rsidR="0074790A">
        <w:rPr>
          <w:color w:val="201F1E"/>
        </w:rPr>
        <w:t xml:space="preserve">Criminalizing Sexuality </w:t>
      </w:r>
      <w:r>
        <w:rPr>
          <w:color w:val="201F1E"/>
        </w:rPr>
        <w:t>(</w:t>
      </w:r>
      <w:r w:rsidR="006632ED">
        <w:rPr>
          <w:color w:val="201F1E"/>
        </w:rPr>
        <w:t xml:space="preserve">Decision &amp; </w:t>
      </w:r>
      <w:r>
        <w:rPr>
          <w:color w:val="201F1E"/>
        </w:rPr>
        <w:t>Thesis Statement Due)</w:t>
      </w:r>
    </w:p>
    <w:p w14:paraId="618FFD1A" w14:textId="0FDA96A4" w:rsidR="00D90285" w:rsidRDefault="00D34802" w:rsidP="00E91D4A">
      <w:pPr>
        <w:rPr>
          <w:color w:val="201F1E"/>
        </w:rPr>
      </w:pPr>
      <w:r>
        <w:rPr>
          <w:color w:val="201F1E"/>
        </w:rPr>
        <w:t>Week 7</w:t>
      </w:r>
      <w:r>
        <w:rPr>
          <w:color w:val="201F1E"/>
        </w:rPr>
        <w:tab/>
      </w:r>
      <w:r w:rsidR="00525021">
        <w:rPr>
          <w:color w:val="201F1E"/>
        </w:rPr>
        <w:t xml:space="preserve">Sex in </w:t>
      </w:r>
      <w:r>
        <w:rPr>
          <w:color w:val="201F1E"/>
        </w:rPr>
        <w:t>Prison</w:t>
      </w:r>
      <w:r w:rsidR="00FC3FDD">
        <w:rPr>
          <w:color w:val="201F1E"/>
        </w:rPr>
        <w:t>s</w:t>
      </w:r>
      <w:r w:rsidR="009C14E8">
        <w:rPr>
          <w:color w:val="201F1E"/>
        </w:rPr>
        <w:t xml:space="preserve"> and other Confinements</w:t>
      </w:r>
      <w:r w:rsidR="00B265BF">
        <w:rPr>
          <w:color w:val="201F1E"/>
        </w:rPr>
        <w:t xml:space="preserve"> (Midterm)</w:t>
      </w:r>
    </w:p>
    <w:p w14:paraId="78461043" w14:textId="4E20431D" w:rsidR="0074790A" w:rsidRDefault="0074790A" w:rsidP="00E91D4A">
      <w:pPr>
        <w:rPr>
          <w:color w:val="201F1E"/>
        </w:rPr>
      </w:pPr>
      <w:r>
        <w:rPr>
          <w:color w:val="201F1E"/>
        </w:rPr>
        <w:t>Week</w:t>
      </w:r>
      <w:r w:rsidR="00DE3BF3">
        <w:rPr>
          <w:color w:val="201F1E"/>
        </w:rPr>
        <w:t>s 8-</w:t>
      </w:r>
      <w:r>
        <w:rPr>
          <w:color w:val="201F1E"/>
        </w:rPr>
        <w:t>9</w:t>
      </w:r>
      <w:r>
        <w:rPr>
          <w:color w:val="201F1E"/>
        </w:rPr>
        <w:tab/>
        <w:t>Religion, Spirituality and Social Control (Annotated Bibliography Due)</w:t>
      </w:r>
    </w:p>
    <w:p w14:paraId="03F21515" w14:textId="46BB91D7" w:rsidR="0074790A" w:rsidRDefault="0074790A" w:rsidP="00E91D4A">
      <w:pPr>
        <w:rPr>
          <w:color w:val="201F1E"/>
        </w:rPr>
      </w:pPr>
      <w:r>
        <w:rPr>
          <w:color w:val="201F1E"/>
        </w:rPr>
        <w:t>Week</w:t>
      </w:r>
      <w:r w:rsidR="00D34802">
        <w:rPr>
          <w:color w:val="201F1E"/>
        </w:rPr>
        <w:t>s</w:t>
      </w:r>
      <w:r>
        <w:rPr>
          <w:color w:val="201F1E"/>
        </w:rPr>
        <w:t xml:space="preserve"> 10</w:t>
      </w:r>
      <w:r w:rsidR="00962329">
        <w:rPr>
          <w:color w:val="201F1E"/>
        </w:rPr>
        <w:t>-11</w:t>
      </w:r>
      <w:r>
        <w:rPr>
          <w:color w:val="201F1E"/>
        </w:rPr>
        <w:tab/>
        <w:t>Resistance, Protest and Liberation</w:t>
      </w:r>
      <w:r w:rsidR="0085215C">
        <w:rPr>
          <w:color w:val="201F1E"/>
        </w:rPr>
        <w:t xml:space="preserve"> Theology</w:t>
      </w:r>
    </w:p>
    <w:p w14:paraId="2A57E3C9" w14:textId="396C5BC0" w:rsidR="0074790A" w:rsidRDefault="0074790A" w:rsidP="00E91D4A">
      <w:pPr>
        <w:rPr>
          <w:color w:val="201F1E"/>
        </w:rPr>
      </w:pPr>
      <w:r>
        <w:rPr>
          <w:color w:val="201F1E"/>
        </w:rPr>
        <w:t>Week 12</w:t>
      </w:r>
      <w:r>
        <w:rPr>
          <w:color w:val="201F1E"/>
        </w:rPr>
        <w:tab/>
      </w:r>
      <w:r w:rsidR="000F4FE6" w:rsidRPr="000F4FE6">
        <w:rPr>
          <w:color w:val="201F1E"/>
        </w:rPr>
        <w:t xml:space="preserve">Nudity, Pornography and The Politics of Baring it All </w:t>
      </w:r>
      <w:r>
        <w:rPr>
          <w:color w:val="201F1E"/>
        </w:rPr>
        <w:t>(Research Paper Draft Due)</w:t>
      </w:r>
    </w:p>
    <w:p w14:paraId="0FFD9C5E" w14:textId="5CD36AC4" w:rsidR="0074790A" w:rsidRDefault="0074790A" w:rsidP="00E91D4A">
      <w:pPr>
        <w:rPr>
          <w:color w:val="201F1E"/>
        </w:rPr>
      </w:pPr>
      <w:r>
        <w:rPr>
          <w:color w:val="201F1E"/>
        </w:rPr>
        <w:t>Week 13</w:t>
      </w:r>
      <w:r>
        <w:rPr>
          <w:color w:val="201F1E"/>
        </w:rPr>
        <w:tab/>
      </w:r>
      <w:r w:rsidR="000F4FE6">
        <w:rPr>
          <w:color w:val="201F1E"/>
        </w:rPr>
        <w:t xml:space="preserve">Disability, Gender and Sex </w:t>
      </w:r>
      <w:r>
        <w:rPr>
          <w:color w:val="201F1E"/>
        </w:rPr>
        <w:t>(Research Paper Peer Review Due)</w:t>
      </w:r>
    </w:p>
    <w:p w14:paraId="0E2474C2" w14:textId="2EFFCD54" w:rsidR="000F4FE6" w:rsidRDefault="000F4FE6" w:rsidP="00E91D4A">
      <w:pPr>
        <w:rPr>
          <w:color w:val="201F1E"/>
        </w:rPr>
      </w:pPr>
      <w:r>
        <w:rPr>
          <w:color w:val="201F1E"/>
        </w:rPr>
        <w:t>Week 14</w:t>
      </w:r>
      <w:r>
        <w:rPr>
          <w:color w:val="201F1E"/>
        </w:rPr>
        <w:tab/>
        <w:t>Queer</w:t>
      </w:r>
      <w:r w:rsidR="007046EC">
        <w:rPr>
          <w:color w:val="201F1E"/>
        </w:rPr>
        <w:t xml:space="preserve"> and Feminist</w:t>
      </w:r>
      <w:r>
        <w:rPr>
          <w:color w:val="201F1E"/>
        </w:rPr>
        <w:t xml:space="preserve"> Pan-Africanism </w:t>
      </w:r>
      <w:r w:rsidR="00937CD1">
        <w:rPr>
          <w:color w:val="201F1E"/>
        </w:rPr>
        <w:t>and Diaspora</w:t>
      </w:r>
    </w:p>
    <w:p w14:paraId="3A5C073A" w14:textId="279FDC78" w:rsidR="0074790A" w:rsidRDefault="0074790A" w:rsidP="00E91D4A">
      <w:pPr>
        <w:rPr>
          <w:color w:val="201F1E"/>
        </w:rPr>
      </w:pPr>
      <w:r>
        <w:rPr>
          <w:color w:val="201F1E"/>
        </w:rPr>
        <w:t>Final</w:t>
      </w:r>
      <w:r w:rsidR="000F4FE6">
        <w:rPr>
          <w:color w:val="201F1E"/>
        </w:rPr>
        <w:t>s</w:t>
      </w:r>
      <w:r>
        <w:rPr>
          <w:color w:val="201F1E"/>
        </w:rPr>
        <w:tab/>
      </w:r>
      <w:r>
        <w:rPr>
          <w:color w:val="201F1E"/>
        </w:rPr>
        <w:tab/>
        <w:t>(Revised Research Paper Due)</w:t>
      </w:r>
    </w:p>
    <w:p w14:paraId="1DCCC986" w14:textId="77777777" w:rsidR="008F3B26" w:rsidRDefault="008F3B26" w:rsidP="008F3B26">
      <w:pPr>
        <w:rPr>
          <w:b/>
          <w:bCs/>
          <w:color w:val="201F1E"/>
          <w:u w:val="single"/>
        </w:rPr>
      </w:pPr>
    </w:p>
    <w:p w14:paraId="08A5AD39" w14:textId="0175C32A" w:rsidR="008F3B26" w:rsidRPr="008F3B26" w:rsidRDefault="008F3B26" w:rsidP="008F3B26">
      <w:pPr>
        <w:rPr>
          <w:b/>
          <w:bCs/>
          <w:color w:val="201F1E"/>
          <w:u w:val="single"/>
        </w:rPr>
      </w:pPr>
      <w:r w:rsidRPr="008F3B26">
        <w:rPr>
          <w:b/>
          <w:bCs/>
          <w:color w:val="201F1E"/>
          <w:u w:val="single"/>
        </w:rPr>
        <w:t xml:space="preserve">Grading Chart </w:t>
      </w:r>
    </w:p>
    <w:p w14:paraId="56F31F20" w14:textId="77777777" w:rsidR="008F3B26" w:rsidRPr="008F3B26" w:rsidRDefault="008F3B26" w:rsidP="008F3B26">
      <w:pPr>
        <w:rPr>
          <w:b/>
          <w:bCs/>
          <w:color w:val="201F1E"/>
          <w:u w:val="single"/>
        </w:rPr>
      </w:pPr>
      <w:r w:rsidRPr="008F3B26">
        <w:rPr>
          <w:b/>
          <w:bCs/>
          <w:color w:val="201F1E"/>
          <w:u w:val="single"/>
        </w:rPr>
        <w:t xml:space="preserve"> </w:t>
      </w:r>
    </w:p>
    <w:p w14:paraId="4CBE2C7B" w14:textId="77777777" w:rsidR="008F3B26" w:rsidRDefault="008F3B26" w:rsidP="008F3B26">
      <w:pPr>
        <w:rPr>
          <w:color w:val="201F1E"/>
        </w:rPr>
        <w:sectPr w:rsidR="008F3B26" w:rsidSect="00CA5872">
          <w:headerReference w:type="default" r:id="rId7"/>
          <w:footerReference w:type="even" r:id="rId8"/>
          <w:footerReference w:type="default" r:id="rId9"/>
          <w:pgSz w:w="12240" w:h="15840"/>
          <w:pgMar w:top="1008" w:right="1440" w:bottom="1008" w:left="1440" w:header="720" w:footer="720" w:gutter="0"/>
          <w:cols w:space="720"/>
          <w:docGrid w:linePitch="360"/>
        </w:sectPr>
      </w:pPr>
    </w:p>
    <w:p w14:paraId="47FDEA0A" w14:textId="7ADB5E50" w:rsidR="008F3B26" w:rsidRPr="008F3B26" w:rsidRDefault="008F3B26" w:rsidP="008F3B26">
      <w:pPr>
        <w:rPr>
          <w:color w:val="201F1E"/>
        </w:rPr>
      </w:pPr>
      <w:r w:rsidRPr="008F3B26">
        <w:rPr>
          <w:color w:val="201F1E"/>
        </w:rPr>
        <w:t>A = 94+</w:t>
      </w:r>
    </w:p>
    <w:p w14:paraId="73084C2F" w14:textId="77777777" w:rsidR="008F3B26" w:rsidRPr="008F3B26" w:rsidRDefault="008F3B26" w:rsidP="008F3B26">
      <w:pPr>
        <w:rPr>
          <w:color w:val="201F1E"/>
        </w:rPr>
      </w:pPr>
      <w:r w:rsidRPr="008F3B26">
        <w:rPr>
          <w:color w:val="201F1E"/>
        </w:rPr>
        <w:t>A- = 90 - 93</w:t>
      </w:r>
    </w:p>
    <w:p w14:paraId="205F9D03" w14:textId="77777777" w:rsidR="008F3B26" w:rsidRPr="008F3B26" w:rsidRDefault="008F3B26" w:rsidP="008F3B26">
      <w:pPr>
        <w:rPr>
          <w:color w:val="201F1E"/>
        </w:rPr>
      </w:pPr>
      <w:r w:rsidRPr="008F3B26">
        <w:rPr>
          <w:color w:val="201F1E"/>
        </w:rPr>
        <w:t>B+ = 87 - 89</w:t>
      </w:r>
    </w:p>
    <w:p w14:paraId="6F4D129B" w14:textId="0CD656BB" w:rsidR="00824CAD" w:rsidRDefault="008F3B26" w:rsidP="008F3B26">
      <w:pPr>
        <w:rPr>
          <w:color w:val="201F1E"/>
        </w:rPr>
      </w:pPr>
      <w:r w:rsidRPr="008F3B26">
        <w:rPr>
          <w:color w:val="201F1E"/>
        </w:rPr>
        <w:t>B = 84 - 86</w:t>
      </w:r>
    </w:p>
    <w:p w14:paraId="0CBE6358" w14:textId="218E6889" w:rsidR="008F3B26" w:rsidRPr="008F3B26" w:rsidRDefault="008F3B26" w:rsidP="008F3B26">
      <w:pPr>
        <w:rPr>
          <w:color w:val="201F1E"/>
        </w:rPr>
      </w:pPr>
      <w:r w:rsidRPr="008F3B26">
        <w:rPr>
          <w:color w:val="201F1E"/>
        </w:rPr>
        <w:t>B- = 80 - 83</w:t>
      </w:r>
    </w:p>
    <w:p w14:paraId="7EF5DFFC" w14:textId="77777777" w:rsidR="008F3B26" w:rsidRPr="008F3B26" w:rsidRDefault="008F3B26" w:rsidP="008F3B26">
      <w:pPr>
        <w:rPr>
          <w:color w:val="201F1E"/>
        </w:rPr>
      </w:pPr>
      <w:r w:rsidRPr="008F3B26">
        <w:rPr>
          <w:color w:val="201F1E"/>
        </w:rPr>
        <w:t>C+ = 77 - 79</w:t>
      </w:r>
    </w:p>
    <w:p w14:paraId="399ECF84" w14:textId="77777777" w:rsidR="008F3B26" w:rsidRPr="008F3B26" w:rsidRDefault="008F3B26" w:rsidP="008F3B26">
      <w:pPr>
        <w:rPr>
          <w:color w:val="201F1E"/>
        </w:rPr>
      </w:pPr>
      <w:r w:rsidRPr="008F3B26">
        <w:rPr>
          <w:color w:val="201F1E"/>
        </w:rPr>
        <w:t>C = 74 - 76</w:t>
      </w:r>
    </w:p>
    <w:p w14:paraId="20343578" w14:textId="15CA09C5" w:rsidR="00824CAD" w:rsidRDefault="008F3B26" w:rsidP="008F3B26">
      <w:pPr>
        <w:rPr>
          <w:color w:val="201F1E"/>
        </w:rPr>
      </w:pPr>
      <w:r w:rsidRPr="008F3B26">
        <w:rPr>
          <w:color w:val="201F1E"/>
        </w:rPr>
        <w:t>C- = 70 - 73</w:t>
      </w:r>
    </w:p>
    <w:p w14:paraId="66F3BEAB" w14:textId="77777777" w:rsidR="00824CAD" w:rsidRDefault="00824CAD" w:rsidP="008F3B26">
      <w:pPr>
        <w:rPr>
          <w:color w:val="201F1E"/>
        </w:rPr>
      </w:pPr>
    </w:p>
    <w:p w14:paraId="3BBEAFE6" w14:textId="77777777" w:rsidR="00824CAD" w:rsidRDefault="00824CAD" w:rsidP="008F3B26">
      <w:pPr>
        <w:rPr>
          <w:color w:val="201F1E"/>
        </w:rPr>
      </w:pPr>
    </w:p>
    <w:p w14:paraId="3BA8BED5" w14:textId="2FE693BE" w:rsidR="008F3B26" w:rsidRPr="008F3B26" w:rsidRDefault="008F3B26" w:rsidP="008F3B26">
      <w:pPr>
        <w:rPr>
          <w:color w:val="201F1E"/>
        </w:rPr>
      </w:pPr>
      <w:r w:rsidRPr="008F3B26">
        <w:rPr>
          <w:color w:val="201F1E"/>
        </w:rPr>
        <w:t>D+ = 67 - 69</w:t>
      </w:r>
    </w:p>
    <w:p w14:paraId="53ADC513" w14:textId="77777777" w:rsidR="008F3B26" w:rsidRPr="008F3B26" w:rsidRDefault="008F3B26" w:rsidP="008F3B26">
      <w:pPr>
        <w:rPr>
          <w:color w:val="201F1E"/>
        </w:rPr>
      </w:pPr>
      <w:r w:rsidRPr="008F3B26">
        <w:rPr>
          <w:color w:val="201F1E"/>
        </w:rPr>
        <w:t xml:space="preserve">D = 61-66 </w:t>
      </w:r>
    </w:p>
    <w:p w14:paraId="16BE118F" w14:textId="4E036D5C" w:rsidR="008F3B26" w:rsidRPr="00596B02" w:rsidRDefault="008F3B26" w:rsidP="00E91D4A">
      <w:pPr>
        <w:rPr>
          <w:color w:val="201F1E"/>
        </w:rPr>
        <w:sectPr w:rsidR="008F3B26" w:rsidRPr="00596B02" w:rsidSect="008F3B26">
          <w:type w:val="continuous"/>
          <w:pgSz w:w="12240" w:h="15840"/>
          <w:pgMar w:top="1440" w:right="1440" w:bottom="1440" w:left="1440" w:header="720" w:footer="720" w:gutter="0"/>
          <w:cols w:num="3" w:space="720"/>
          <w:docGrid w:linePitch="360"/>
        </w:sectPr>
      </w:pPr>
      <w:r w:rsidRPr="008F3B26">
        <w:rPr>
          <w:color w:val="201F1E"/>
        </w:rPr>
        <w:t>F = &lt;6</w:t>
      </w:r>
      <w:r w:rsidR="00855950">
        <w:rPr>
          <w:color w:val="201F1E"/>
        </w:rPr>
        <w:t>0</w:t>
      </w:r>
    </w:p>
    <w:p w14:paraId="12BC8C14" w14:textId="77777777" w:rsidR="00906F2F" w:rsidRDefault="00906F2F" w:rsidP="00E91D4A">
      <w:pPr>
        <w:rPr>
          <w:b/>
          <w:bCs/>
          <w:u w:val="single"/>
        </w:rPr>
      </w:pPr>
    </w:p>
    <w:p w14:paraId="50B24746" w14:textId="39126BC1" w:rsidR="00855950" w:rsidRPr="00855950" w:rsidRDefault="00855950" w:rsidP="00E91D4A">
      <w:pPr>
        <w:rPr>
          <w:b/>
          <w:bCs/>
          <w:u w:val="single"/>
        </w:rPr>
      </w:pPr>
      <w:r w:rsidRPr="00855950">
        <w:rPr>
          <w:b/>
          <w:bCs/>
          <w:u w:val="single"/>
        </w:rPr>
        <w:t xml:space="preserve">Required </w:t>
      </w:r>
      <w:r>
        <w:rPr>
          <w:b/>
          <w:bCs/>
          <w:u w:val="single"/>
        </w:rPr>
        <w:t>Book Purchase</w:t>
      </w:r>
    </w:p>
    <w:p w14:paraId="056CC6C7" w14:textId="77777777" w:rsidR="00906F2F" w:rsidRDefault="00906F2F" w:rsidP="00E91D4A"/>
    <w:p w14:paraId="20CB465C" w14:textId="1EBAF59A" w:rsidR="000D1F85" w:rsidRPr="00855950" w:rsidRDefault="00855950" w:rsidP="00E91D4A">
      <w:r w:rsidRPr="00AB68AC">
        <w:t xml:space="preserve">Tamale, Sylvia. </w:t>
      </w:r>
      <w:r w:rsidRPr="00AB68AC">
        <w:rPr>
          <w:i/>
          <w:iCs/>
        </w:rPr>
        <w:t xml:space="preserve">African Sexualities: A Reader. </w:t>
      </w:r>
      <w:proofErr w:type="spellStart"/>
      <w:r w:rsidRPr="00AB68AC">
        <w:t>Pambazuka</w:t>
      </w:r>
      <w:proofErr w:type="spellEnd"/>
      <w:r w:rsidRPr="00AB68AC">
        <w:t xml:space="preserve"> Press, 2011.</w:t>
      </w:r>
      <w:r w:rsidRPr="00AB68AC">
        <w:rPr>
          <w:i/>
          <w:iCs/>
        </w:rPr>
        <w:t xml:space="preserve"> </w:t>
      </w:r>
    </w:p>
    <w:p w14:paraId="1E62CE39" w14:textId="77777777" w:rsidR="004C2153" w:rsidRDefault="004C2153" w:rsidP="00E91D4A">
      <w:pPr>
        <w:rPr>
          <w:color w:val="201F1E"/>
        </w:rPr>
      </w:pPr>
    </w:p>
    <w:p w14:paraId="75CACB8F" w14:textId="38E40363" w:rsidR="000031B7" w:rsidRDefault="00A82707" w:rsidP="00E91D4A">
      <w:pPr>
        <w:rPr>
          <w:color w:val="201F1E"/>
        </w:rPr>
      </w:pPr>
      <w:r>
        <w:rPr>
          <w:color w:val="201F1E"/>
        </w:rPr>
        <w:t xml:space="preserve">Achebe, </w:t>
      </w:r>
      <w:proofErr w:type="spellStart"/>
      <w:r>
        <w:rPr>
          <w:color w:val="201F1E"/>
        </w:rPr>
        <w:t>Nwando</w:t>
      </w:r>
      <w:proofErr w:type="spellEnd"/>
      <w:r>
        <w:rPr>
          <w:color w:val="201F1E"/>
        </w:rPr>
        <w:t xml:space="preserve"> and Robertson, Claire. </w:t>
      </w:r>
      <w:r w:rsidRPr="00A82707">
        <w:rPr>
          <w:color w:val="201F1E"/>
        </w:rPr>
        <w:t>Holding the World Together: African Women in Changing Perspective</w:t>
      </w:r>
      <w:r>
        <w:rPr>
          <w:color w:val="201F1E"/>
        </w:rPr>
        <w:t xml:space="preserve">. University of </w:t>
      </w:r>
      <w:r w:rsidR="004C2153">
        <w:rPr>
          <w:color w:val="201F1E"/>
        </w:rPr>
        <w:t>Wisconsin</w:t>
      </w:r>
      <w:r>
        <w:rPr>
          <w:color w:val="201F1E"/>
        </w:rPr>
        <w:t xml:space="preserve"> Press, 2019</w:t>
      </w:r>
    </w:p>
    <w:p w14:paraId="15962B61" w14:textId="77777777" w:rsidR="00A82707" w:rsidRPr="00A82707" w:rsidRDefault="00A82707" w:rsidP="00E91D4A">
      <w:pPr>
        <w:rPr>
          <w:color w:val="201F1E"/>
        </w:rPr>
      </w:pPr>
    </w:p>
    <w:p w14:paraId="21DAF032" w14:textId="64D90CBE" w:rsidR="00EC42DA" w:rsidRPr="00E8184F" w:rsidRDefault="00EC42DA" w:rsidP="00E91D4A">
      <w:pPr>
        <w:rPr>
          <w:b/>
          <w:bCs/>
          <w:color w:val="201F1E"/>
          <w:u w:val="single"/>
        </w:rPr>
      </w:pPr>
      <w:r>
        <w:rPr>
          <w:b/>
          <w:bCs/>
          <w:color w:val="201F1E"/>
          <w:u w:val="single"/>
        </w:rPr>
        <w:t>Course Bibliography</w:t>
      </w:r>
      <w:r w:rsidR="00E8184F">
        <w:rPr>
          <w:b/>
          <w:bCs/>
          <w:color w:val="201F1E"/>
          <w:u w:val="single"/>
        </w:rPr>
        <w:t>, by Topic</w:t>
      </w:r>
    </w:p>
    <w:p w14:paraId="655EBB9A" w14:textId="77777777" w:rsidR="000031B7" w:rsidRPr="00AB68AC" w:rsidRDefault="000031B7" w:rsidP="000031B7">
      <w:pPr>
        <w:ind w:left="720" w:hanging="720"/>
        <w:rPr>
          <w:rFonts w:cs="Times New Roman"/>
          <w:b/>
          <w:bCs/>
        </w:rPr>
      </w:pPr>
      <w:r w:rsidRPr="00AB68AC">
        <w:rPr>
          <w:rFonts w:cs="Times New Roman"/>
          <w:b/>
          <w:bCs/>
        </w:rPr>
        <w:t xml:space="preserve">Ability, Disability and Gendered Embodiment </w:t>
      </w:r>
    </w:p>
    <w:p w14:paraId="7E500265" w14:textId="344952BE" w:rsidR="000031B7" w:rsidRDefault="000031B7" w:rsidP="000031B7">
      <w:pPr>
        <w:ind w:left="720" w:hanging="720"/>
        <w:rPr>
          <w:rFonts w:cs="Times New Roman"/>
        </w:rPr>
      </w:pPr>
      <w:r>
        <w:rPr>
          <w:rFonts w:cs="Times New Roman"/>
        </w:rPr>
        <w:t>BBC News. “I Felt Like I was Born a Problem” Kenya Recognizes Intersex Citizens</w:t>
      </w:r>
    </w:p>
    <w:p w14:paraId="5E78DBC5" w14:textId="77777777" w:rsidR="000031B7" w:rsidRDefault="000031B7" w:rsidP="000031B7">
      <w:pPr>
        <w:ind w:left="720" w:hanging="720"/>
        <w:rPr>
          <w:rFonts w:cs="Times New Roman"/>
        </w:rPr>
      </w:pPr>
    </w:p>
    <w:p w14:paraId="5D93F0CD" w14:textId="77777777" w:rsidR="000031B7" w:rsidRPr="001621EB" w:rsidRDefault="000031B7" w:rsidP="000031B7">
      <w:pPr>
        <w:ind w:left="720" w:hanging="720"/>
        <w:rPr>
          <w:rFonts w:cs="Times New Roman"/>
        </w:rPr>
      </w:pPr>
      <w:r w:rsidRPr="00AB68AC">
        <w:rPr>
          <w:rFonts w:cs="Times New Roman"/>
        </w:rPr>
        <w:t>Chappell, Paul. “Queering the Social Emergence of Disabled</w:t>
      </w:r>
      <w:r w:rsidRPr="001621EB">
        <w:rPr>
          <w:rFonts w:cs="Times New Roman"/>
        </w:rPr>
        <w:t xml:space="preserve"> Sexual Identities: Linking Queer Theory with Disability Studies in the South African Context.” </w:t>
      </w:r>
      <w:r w:rsidRPr="00341CEE">
        <w:rPr>
          <w:rFonts w:cs="Times New Roman"/>
          <w:i/>
        </w:rPr>
        <w:t>Agenda: Empowering Women for Gender Equity</w:t>
      </w:r>
      <w:r w:rsidRPr="001621EB">
        <w:rPr>
          <w:rFonts w:cs="Times New Roman"/>
        </w:rPr>
        <w:t xml:space="preserve"> 29</w:t>
      </w:r>
      <w:r>
        <w:rPr>
          <w:rFonts w:cs="Times New Roman"/>
        </w:rPr>
        <w:t>, no. 1</w:t>
      </w:r>
      <w:r w:rsidRPr="001621EB">
        <w:rPr>
          <w:rFonts w:cs="Times New Roman"/>
        </w:rPr>
        <w:t xml:space="preserve"> (2015): 54-62. </w:t>
      </w:r>
    </w:p>
    <w:p w14:paraId="0F89D951" w14:textId="77777777" w:rsidR="000031B7" w:rsidRDefault="000031B7" w:rsidP="000031B7">
      <w:pPr>
        <w:rPr>
          <w:rFonts w:cs="Times New Roman"/>
        </w:rPr>
      </w:pPr>
    </w:p>
    <w:p w14:paraId="3662C108" w14:textId="77777777" w:rsidR="000031B7" w:rsidRPr="00A15A04" w:rsidRDefault="000031B7" w:rsidP="000031B7">
      <w:pPr>
        <w:ind w:left="720" w:hanging="720"/>
        <w:rPr>
          <w:rFonts w:cs="Times New Roman"/>
        </w:rPr>
      </w:pPr>
      <w:r w:rsidRPr="001621EB">
        <w:rPr>
          <w:rFonts w:cs="Times New Roman"/>
        </w:rPr>
        <w:t xml:space="preserve">Mohamed, </w:t>
      </w:r>
      <w:proofErr w:type="spellStart"/>
      <w:r w:rsidRPr="001621EB">
        <w:rPr>
          <w:rFonts w:cs="Times New Roman"/>
        </w:rPr>
        <w:t>Kharnita</w:t>
      </w:r>
      <w:proofErr w:type="spellEnd"/>
      <w:r w:rsidRPr="001621EB">
        <w:rPr>
          <w:rFonts w:cs="Times New Roman"/>
        </w:rPr>
        <w:t xml:space="preserve">, and Tamara </w:t>
      </w:r>
      <w:proofErr w:type="spellStart"/>
      <w:r w:rsidRPr="001621EB">
        <w:rPr>
          <w:rFonts w:cs="Times New Roman"/>
        </w:rPr>
        <w:t>Shefer</w:t>
      </w:r>
      <w:proofErr w:type="spellEnd"/>
      <w:r>
        <w:rPr>
          <w:rFonts w:cs="Times New Roman"/>
        </w:rPr>
        <w:t>.</w:t>
      </w:r>
      <w:r w:rsidRPr="001621EB">
        <w:rPr>
          <w:rFonts w:cs="Times New Roman"/>
        </w:rPr>
        <w:t xml:space="preserve"> “Gendering Disability and Disabling Gender: Critical Reflections on Intersections of Gender and Disability.” </w:t>
      </w:r>
      <w:r w:rsidRPr="00341CEE">
        <w:rPr>
          <w:rFonts w:cs="Times New Roman"/>
          <w:i/>
          <w:iCs/>
        </w:rPr>
        <w:t xml:space="preserve">Agenda: Empowering Women for Gender Equity </w:t>
      </w:r>
      <w:r w:rsidRPr="001621EB">
        <w:rPr>
          <w:rFonts w:cs="Times New Roman"/>
        </w:rPr>
        <w:t>29</w:t>
      </w:r>
      <w:r>
        <w:rPr>
          <w:rFonts w:cs="Times New Roman"/>
        </w:rPr>
        <w:t>, no. 2</w:t>
      </w:r>
      <w:r w:rsidRPr="001621EB">
        <w:rPr>
          <w:rFonts w:cs="Times New Roman"/>
        </w:rPr>
        <w:t xml:space="preserve"> (2015): 2-13. </w:t>
      </w:r>
    </w:p>
    <w:p w14:paraId="05942A20" w14:textId="77777777" w:rsidR="000031B7" w:rsidRDefault="000031B7" w:rsidP="000031B7">
      <w:pPr>
        <w:ind w:left="720" w:hanging="720"/>
        <w:rPr>
          <w:rFonts w:cs="Times New Roman"/>
        </w:rPr>
      </w:pPr>
    </w:p>
    <w:p w14:paraId="2020B56A" w14:textId="77777777" w:rsidR="000031B7" w:rsidRDefault="000031B7" w:rsidP="000031B7">
      <w:pPr>
        <w:ind w:left="720" w:hanging="720"/>
        <w:rPr>
          <w:rFonts w:cs="Times New Roman"/>
        </w:rPr>
      </w:pPr>
      <w:proofErr w:type="spellStart"/>
      <w:r w:rsidRPr="009C3894">
        <w:rPr>
          <w:rFonts w:cs="Times New Roman"/>
        </w:rPr>
        <w:t>Swarr</w:t>
      </w:r>
      <w:proofErr w:type="spellEnd"/>
      <w:r w:rsidRPr="009C3894">
        <w:rPr>
          <w:rFonts w:cs="Times New Roman"/>
        </w:rPr>
        <w:t xml:space="preserve">, A.L., Gross, S. and Theron, L., 2009. South African intersex activism: Caster Semenya's impact and import. Feminist Studies, 35(3), pp.657-662. </w:t>
      </w:r>
    </w:p>
    <w:p w14:paraId="21DC684B" w14:textId="77777777" w:rsidR="000031B7" w:rsidRDefault="000031B7" w:rsidP="000031B7">
      <w:pPr>
        <w:ind w:left="720" w:hanging="720"/>
        <w:rPr>
          <w:rFonts w:cs="Times New Roman"/>
        </w:rPr>
      </w:pPr>
    </w:p>
    <w:p w14:paraId="1F99D559" w14:textId="77777777" w:rsidR="000031B7" w:rsidRDefault="000031B7" w:rsidP="000031B7">
      <w:pPr>
        <w:ind w:left="720" w:hanging="720"/>
        <w:rPr>
          <w:rFonts w:cs="Times New Roman"/>
        </w:rPr>
      </w:pPr>
      <w:r w:rsidRPr="001621EB">
        <w:rPr>
          <w:rFonts w:cs="Times New Roman"/>
        </w:rPr>
        <w:t xml:space="preserve">Walley, Christine J. “Searching for </w:t>
      </w:r>
      <w:r>
        <w:rPr>
          <w:rFonts w:cs="Times New Roman"/>
        </w:rPr>
        <w:t>‘</w:t>
      </w:r>
      <w:r w:rsidRPr="001621EB">
        <w:rPr>
          <w:rFonts w:cs="Times New Roman"/>
        </w:rPr>
        <w:t>Voices</w:t>
      </w:r>
      <w:r>
        <w:rPr>
          <w:rFonts w:cs="Times New Roman"/>
        </w:rPr>
        <w:t>’</w:t>
      </w:r>
      <w:r w:rsidRPr="001621EB">
        <w:rPr>
          <w:rFonts w:cs="Times New Roman"/>
        </w:rPr>
        <w:t xml:space="preserve">: Feminism, Anthropology and the Global Debate Over Female Genital Operations.” </w:t>
      </w:r>
      <w:r w:rsidRPr="001621EB">
        <w:rPr>
          <w:rFonts w:cs="Times New Roman"/>
          <w:i/>
          <w:iCs/>
        </w:rPr>
        <w:t>Cultural Anthropology</w:t>
      </w:r>
      <w:r w:rsidRPr="001621EB">
        <w:rPr>
          <w:rFonts w:cs="Times New Roman"/>
        </w:rPr>
        <w:t xml:space="preserve"> 12, no. 3 (August 1997): 405-38.</w:t>
      </w:r>
    </w:p>
    <w:p w14:paraId="1F002D5D" w14:textId="77777777" w:rsidR="000031B7" w:rsidRDefault="000031B7" w:rsidP="00E91D4A">
      <w:pPr>
        <w:rPr>
          <w:b/>
          <w:bCs/>
          <w:color w:val="201F1E"/>
        </w:rPr>
      </w:pPr>
    </w:p>
    <w:p w14:paraId="26F10FA2" w14:textId="10832BCF" w:rsidR="00343123" w:rsidRPr="00AB68AC" w:rsidRDefault="00343123" w:rsidP="00E91D4A">
      <w:pPr>
        <w:rPr>
          <w:b/>
          <w:bCs/>
          <w:color w:val="201F1E"/>
        </w:rPr>
      </w:pPr>
      <w:r w:rsidRPr="00AB68AC">
        <w:rPr>
          <w:b/>
          <w:bCs/>
          <w:color w:val="201F1E"/>
        </w:rPr>
        <w:t>African Feminism</w:t>
      </w:r>
      <w:r w:rsidR="008F1F17">
        <w:rPr>
          <w:b/>
          <w:bCs/>
          <w:color w:val="201F1E"/>
        </w:rPr>
        <w:t>, Women and Feminine Power</w:t>
      </w:r>
    </w:p>
    <w:p w14:paraId="6BB9B926" w14:textId="77777777" w:rsidR="00343123" w:rsidRPr="00AB68AC" w:rsidRDefault="00343123" w:rsidP="00343123">
      <w:pPr>
        <w:ind w:left="720" w:hanging="720"/>
        <w:rPr>
          <w:rFonts w:cs="Times New Roman"/>
        </w:rPr>
      </w:pPr>
      <w:r w:rsidRPr="00AB68AC">
        <w:rPr>
          <w:rFonts w:cs="Times New Roman"/>
        </w:rPr>
        <w:t xml:space="preserve">Abbas, </w:t>
      </w:r>
      <w:proofErr w:type="spellStart"/>
      <w:r w:rsidRPr="00AB68AC">
        <w:rPr>
          <w:rFonts w:cs="Times New Roman"/>
        </w:rPr>
        <w:t>Hakima</w:t>
      </w:r>
      <w:proofErr w:type="spellEnd"/>
      <w:r w:rsidRPr="00AB68AC">
        <w:rPr>
          <w:rFonts w:cs="Times New Roman"/>
        </w:rPr>
        <w:t xml:space="preserve">, and Amina Mama. “Editorial: Feminism and Pan-Africanism.” </w:t>
      </w:r>
      <w:r w:rsidRPr="00AB68AC">
        <w:rPr>
          <w:rFonts w:cs="Times New Roman"/>
          <w:i/>
          <w:iCs/>
        </w:rPr>
        <w:t>Feminist Africa</w:t>
      </w:r>
      <w:r w:rsidRPr="00AB68AC">
        <w:rPr>
          <w:rFonts w:cs="Times New Roman"/>
        </w:rPr>
        <w:t xml:space="preserve"> 19 (September 2014): 1-6.</w:t>
      </w:r>
    </w:p>
    <w:p w14:paraId="157F1832" w14:textId="77777777" w:rsidR="00343123" w:rsidRPr="00AB68AC" w:rsidRDefault="00343123" w:rsidP="00A71E2F">
      <w:pPr>
        <w:rPr>
          <w:rFonts w:cs="Times New Roman"/>
        </w:rPr>
      </w:pPr>
    </w:p>
    <w:p w14:paraId="4F01E654" w14:textId="2248F517" w:rsidR="008F1F17" w:rsidRDefault="008F1F17" w:rsidP="00343123">
      <w:pPr>
        <w:ind w:left="720" w:hanging="720"/>
        <w:rPr>
          <w:rFonts w:cs="Times New Roman"/>
        </w:rPr>
      </w:pPr>
      <w:r>
        <w:rPr>
          <w:rFonts w:cs="Times New Roman"/>
        </w:rPr>
        <w:t xml:space="preserve">Achebe, N. </w:t>
      </w:r>
      <w:r w:rsidRPr="008F1F17">
        <w:rPr>
          <w:rFonts w:cs="Times New Roman"/>
        </w:rPr>
        <w:t>Female Monarchs and Merchant Queens in Africa.</w:t>
      </w:r>
      <w:r>
        <w:rPr>
          <w:rFonts w:cs="Times New Roman"/>
        </w:rPr>
        <w:t xml:space="preserve"> Ohio University Press. 2020</w:t>
      </w:r>
    </w:p>
    <w:p w14:paraId="06937A00" w14:textId="77777777" w:rsidR="008F1F17" w:rsidRDefault="008F1F17" w:rsidP="00343123">
      <w:pPr>
        <w:ind w:left="720" w:hanging="720"/>
        <w:rPr>
          <w:rFonts w:cs="Times New Roman"/>
        </w:rPr>
      </w:pPr>
    </w:p>
    <w:p w14:paraId="47CFF51B" w14:textId="069CF8D0" w:rsidR="00343123" w:rsidRPr="00AB68AC" w:rsidRDefault="00343123" w:rsidP="00343123">
      <w:pPr>
        <w:ind w:left="720" w:hanging="720"/>
        <w:rPr>
          <w:rFonts w:cs="Times New Roman"/>
        </w:rPr>
      </w:pPr>
      <w:r w:rsidRPr="00AB68AC">
        <w:rPr>
          <w:rFonts w:cs="Times New Roman"/>
        </w:rPr>
        <w:t xml:space="preserve">Brownhill, Leigh S., and Terisa E. Turner. “Feminism in the Mau </w:t>
      </w:r>
      <w:proofErr w:type="spellStart"/>
      <w:r w:rsidRPr="00AB68AC">
        <w:rPr>
          <w:rFonts w:cs="Times New Roman"/>
        </w:rPr>
        <w:t>Mau</w:t>
      </w:r>
      <w:proofErr w:type="spellEnd"/>
      <w:r w:rsidRPr="00AB68AC">
        <w:rPr>
          <w:rFonts w:cs="Times New Roman"/>
        </w:rPr>
        <w:t xml:space="preserve"> Resurgence.” </w:t>
      </w:r>
      <w:r w:rsidRPr="00AB68AC">
        <w:rPr>
          <w:rFonts w:cs="Times New Roman"/>
          <w:i/>
          <w:iCs/>
        </w:rPr>
        <w:t>Journal of Asian and African Studies</w:t>
      </w:r>
      <w:r w:rsidRPr="00AB68AC">
        <w:rPr>
          <w:rFonts w:cs="Times New Roman"/>
        </w:rPr>
        <w:t xml:space="preserve"> 39, no. 1-2 (2004): 95-117.</w:t>
      </w:r>
    </w:p>
    <w:p w14:paraId="44B3C10B" w14:textId="77777777" w:rsidR="00343123" w:rsidRPr="00AB68AC" w:rsidRDefault="00343123" w:rsidP="00343123">
      <w:pPr>
        <w:ind w:left="720" w:hanging="720"/>
        <w:rPr>
          <w:rFonts w:cs="Times New Roman"/>
        </w:rPr>
      </w:pPr>
    </w:p>
    <w:p w14:paraId="037D4924" w14:textId="774171A5" w:rsidR="00343123" w:rsidRPr="00AB68AC" w:rsidRDefault="00343123" w:rsidP="00DE30F2">
      <w:pPr>
        <w:ind w:left="720" w:hanging="720"/>
        <w:rPr>
          <w:rFonts w:cs="Times New Roman"/>
        </w:rPr>
      </w:pPr>
      <w:r w:rsidRPr="00AB68AC">
        <w:rPr>
          <w:rFonts w:cs="Times New Roman"/>
        </w:rPr>
        <w:t xml:space="preserve">Decker, Alicia C., and </w:t>
      </w:r>
      <w:proofErr w:type="spellStart"/>
      <w:r w:rsidRPr="00AB68AC">
        <w:rPr>
          <w:rFonts w:cs="Times New Roman"/>
        </w:rPr>
        <w:t>Gabeba</w:t>
      </w:r>
      <w:proofErr w:type="spellEnd"/>
      <w:r w:rsidRPr="00AB68AC">
        <w:rPr>
          <w:rFonts w:cs="Times New Roman"/>
        </w:rPr>
        <w:t xml:space="preserve"> </w:t>
      </w:r>
      <w:proofErr w:type="spellStart"/>
      <w:r w:rsidRPr="00AB68AC">
        <w:rPr>
          <w:rFonts w:cs="Times New Roman"/>
        </w:rPr>
        <w:t>Baderoon</w:t>
      </w:r>
      <w:proofErr w:type="spellEnd"/>
      <w:r w:rsidRPr="00AB68AC">
        <w:rPr>
          <w:rFonts w:cs="Times New Roman"/>
        </w:rPr>
        <w:t>. “African Feminisms: Cartographies for the 21</w:t>
      </w:r>
      <w:r w:rsidRPr="00AB68AC">
        <w:rPr>
          <w:rFonts w:cs="Times New Roman"/>
          <w:vertAlign w:val="superscript"/>
        </w:rPr>
        <w:t>st</w:t>
      </w:r>
      <w:r w:rsidRPr="00AB68AC">
        <w:rPr>
          <w:rFonts w:cs="Times New Roman"/>
        </w:rPr>
        <w:t xml:space="preserve"> Century.” </w:t>
      </w:r>
      <w:r w:rsidRPr="00AB68AC">
        <w:rPr>
          <w:rFonts w:cs="Times New Roman"/>
          <w:i/>
        </w:rPr>
        <w:t>Meridians:</w:t>
      </w:r>
      <w:r w:rsidRPr="00AB68AC">
        <w:rPr>
          <w:rFonts w:cs="Times New Roman"/>
        </w:rPr>
        <w:t xml:space="preserve"> </w:t>
      </w:r>
      <w:r w:rsidRPr="00AB68AC">
        <w:rPr>
          <w:rFonts w:cs="Times New Roman"/>
          <w:i/>
        </w:rPr>
        <w:t>Feminism, Race, Transnationalism</w:t>
      </w:r>
      <w:r w:rsidRPr="00AB68AC">
        <w:rPr>
          <w:rFonts w:cs="Times New Roman"/>
        </w:rPr>
        <w:t xml:space="preserve"> 17, no. 2 (2018): 219-231. </w:t>
      </w:r>
    </w:p>
    <w:p w14:paraId="2884DD61" w14:textId="77777777" w:rsidR="0060752D" w:rsidRPr="00AB68AC" w:rsidRDefault="0060752D" w:rsidP="000D7ADB">
      <w:pPr>
        <w:rPr>
          <w:color w:val="201F1E"/>
        </w:rPr>
      </w:pPr>
    </w:p>
    <w:p w14:paraId="74875296" w14:textId="77777777" w:rsidR="00855950" w:rsidRPr="00AB68AC" w:rsidRDefault="00855950" w:rsidP="00855950">
      <w:pPr>
        <w:rPr>
          <w:b/>
          <w:bCs/>
          <w:color w:val="201F1E"/>
        </w:rPr>
      </w:pPr>
      <w:r w:rsidRPr="00AB68AC">
        <w:rPr>
          <w:b/>
          <w:bCs/>
          <w:color w:val="201F1E"/>
        </w:rPr>
        <w:t xml:space="preserve">(Post)Colonial Inventions: Gender, Sexual Communities, Illegal Beings and Doings </w:t>
      </w:r>
    </w:p>
    <w:p w14:paraId="0678417A" w14:textId="77777777" w:rsidR="00855950" w:rsidRPr="00AB68AC" w:rsidRDefault="00855950" w:rsidP="00855950">
      <w:pPr>
        <w:ind w:left="720" w:hanging="720"/>
        <w:rPr>
          <w:rFonts w:cs="Times New Roman"/>
        </w:rPr>
      </w:pPr>
      <w:proofErr w:type="spellStart"/>
      <w:r w:rsidRPr="00AB68AC">
        <w:rPr>
          <w:rFonts w:cs="Times New Roman"/>
        </w:rPr>
        <w:t>Epprecht</w:t>
      </w:r>
      <w:proofErr w:type="spellEnd"/>
      <w:r w:rsidRPr="00AB68AC">
        <w:rPr>
          <w:rFonts w:cs="Times New Roman"/>
        </w:rPr>
        <w:t xml:space="preserve">, Marc. Heterosexual </w:t>
      </w:r>
      <w:proofErr w:type="gramStart"/>
      <w:r w:rsidRPr="00AB68AC">
        <w:rPr>
          <w:rFonts w:cs="Times New Roman"/>
        </w:rPr>
        <w:t>Africa?:</w:t>
      </w:r>
      <w:proofErr w:type="gramEnd"/>
      <w:r w:rsidRPr="00AB68AC">
        <w:rPr>
          <w:rFonts w:cs="Times New Roman"/>
        </w:rPr>
        <w:t xml:space="preserve"> The History of an Idea from the Age of Exploration to the Age of AIDS</w:t>
      </w:r>
      <w:r>
        <w:rPr>
          <w:rFonts w:cs="Times New Roman"/>
        </w:rPr>
        <w:t>, 2008</w:t>
      </w:r>
    </w:p>
    <w:p w14:paraId="4E7497E5" w14:textId="77777777" w:rsidR="00855950" w:rsidRPr="00AB68AC" w:rsidRDefault="00855950" w:rsidP="00855950">
      <w:pPr>
        <w:rPr>
          <w:rFonts w:cs="Times New Roman"/>
        </w:rPr>
      </w:pPr>
      <w:r w:rsidRPr="00AB68AC">
        <w:rPr>
          <w:rFonts w:cs="Times New Roman"/>
        </w:rPr>
        <w:tab/>
      </w:r>
    </w:p>
    <w:p w14:paraId="616016FC" w14:textId="77777777" w:rsidR="00855950" w:rsidRDefault="00855950" w:rsidP="00855950">
      <w:pPr>
        <w:rPr>
          <w:color w:val="201F1E"/>
        </w:rPr>
      </w:pPr>
      <w:r>
        <w:rPr>
          <w:color w:val="201F1E"/>
        </w:rPr>
        <w:t>Nyanzi, Stella. No Roses from My Mouth. Ubuntu Reading Group, 2019.</w:t>
      </w:r>
    </w:p>
    <w:p w14:paraId="51EB8F10" w14:textId="77777777" w:rsidR="00855950" w:rsidRDefault="00855950" w:rsidP="00855950">
      <w:pPr>
        <w:ind w:left="720" w:hanging="720"/>
        <w:rPr>
          <w:rFonts w:cs="Times New Roman"/>
        </w:rPr>
      </w:pPr>
    </w:p>
    <w:p w14:paraId="352E0540" w14:textId="1F3C7A95" w:rsidR="009F2120" w:rsidRPr="00855950" w:rsidRDefault="00855950" w:rsidP="00855950">
      <w:pPr>
        <w:ind w:left="720" w:hanging="720"/>
        <w:rPr>
          <w:rFonts w:cs="Times New Roman"/>
        </w:rPr>
      </w:pPr>
      <w:proofErr w:type="spellStart"/>
      <w:r w:rsidRPr="00AB68AC">
        <w:rPr>
          <w:rFonts w:cs="Times New Roman"/>
        </w:rPr>
        <w:t>Oyewumi</w:t>
      </w:r>
      <w:proofErr w:type="spellEnd"/>
      <w:r w:rsidRPr="00AB68AC">
        <w:rPr>
          <w:rFonts w:cs="Times New Roman"/>
        </w:rPr>
        <w:t xml:space="preserve">, </w:t>
      </w:r>
      <w:proofErr w:type="spellStart"/>
      <w:r w:rsidRPr="00AB68AC">
        <w:rPr>
          <w:rFonts w:cs="Times New Roman"/>
        </w:rPr>
        <w:t>Oyeronke</w:t>
      </w:r>
      <w:proofErr w:type="spellEnd"/>
      <w:r w:rsidRPr="00AB68AC">
        <w:rPr>
          <w:rFonts w:cs="Times New Roman"/>
        </w:rPr>
        <w:t xml:space="preserve">, </w:t>
      </w:r>
      <w:r w:rsidRPr="00AB68AC">
        <w:rPr>
          <w:rFonts w:cs="Times New Roman"/>
          <w:i/>
          <w:iCs/>
        </w:rPr>
        <w:t>The Invention of Women: Making an African Sense of Western Gender Discourses.</w:t>
      </w:r>
      <w:r w:rsidRPr="00AB68AC">
        <w:rPr>
          <w:rFonts w:cs="Times New Roman"/>
        </w:rPr>
        <w:t xml:space="preserve"> Minneapolis: University of Minnesota Press, 1997.</w:t>
      </w:r>
    </w:p>
    <w:p w14:paraId="0E924A5C" w14:textId="77777777" w:rsidR="00075D2D" w:rsidRDefault="00075D2D" w:rsidP="009F2120">
      <w:pPr>
        <w:rPr>
          <w:color w:val="201F1E"/>
        </w:rPr>
      </w:pPr>
    </w:p>
    <w:p w14:paraId="57656BFC" w14:textId="0449641C" w:rsidR="009F2120" w:rsidRPr="00AB68AC" w:rsidRDefault="009F2120" w:rsidP="009F2120">
      <w:pPr>
        <w:rPr>
          <w:color w:val="201F1E"/>
        </w:rPr>
      </w:pPr>
      <w:r w:rsidRPr="00AB68AC">
        <w:rPr>
          <w:color w:val="201F1E"/>
        </w:rPr>
        <w:lastRenderedPageBreak/>
        <w:t>Phillips, Oliver. The ‘perils’ of sex and the panics of race: the dangers of interracial sex in colonial Southern Rhodesia</w:t>
      </w:r>
      <w:r w:rsidRPr="00AB68AC">
        <w:rPr>
          <w:i/>
          <w:iCs/>
          <w:color w:val="201F1E"/>
        </w:rPr>
        <w:t>. African Sexualities: A Reader.</w:t>
      </w:r>
      <w:r w:rsidRPr="00AB68AC">
        <w:rPr>
          <w:color w:val="201F1E"/>
        </w:rPr>
        <w:t xml:space="preserve"> </w:t>
      </w:r>
    </w:p>
    <w:p w14:paraId="3A57DA7B" w14:textId="56946F4C" w:rsidR="009F2120" w:rsidRDefault="009F2120" w:rsidP="0060752D">
      <w:pPr>
        <w:rPr>
          <w:b/>
          <w:bCs/>
          <w:color w:val="201F1E"/>
        </w:rPr>
      </w:pPr>
    </w:p>
    <w:p w14:paraId="6C560A82" w14:textId="77777777" w:rsidR="009F2120" w:rsidRPr="00AB68AC" w:rsidRDefault="009F2120" w:rsidP="009F2120">
      <w:pPr>
        <w:ind w:left="720" w:hanging="720"/>
        <w:rPr>
          <w:rFonts w:cs="Times New Roman"/>
          <w:i/>
          <w:iCs/>
        </w:rPr>
      </w:pPr>
      <w:r w:rsidRPr="00AB68AC">
        <w:rPr>
          <w:rFonts w:cs="Times New Roman"/>
        </w:rPr>
        <w:t xml:space="preserve">Rodriguez, S.M. </w:t>
      </w:r>
      <w:r w:rsidRPr="00AB68AC">
        <w:rPr>
          <w:rFonts w:cs="Times New Roman"/>
          <w:i/>
          <w:iCs/>
        </w:rPr>
        <w:t xml:space="preserve">The Economies of Queer Inclusion: Transnational Organizing for LGBTI Rights in Uganda. </w:t>
      </w:r>
      <w:r w:rsidRPr="00AB68AC">
        <w:rPr>
          <w:rFonts w:cs="Times New Roman"/>
        </w:rPr>
        <w:t>Lexington Books, 2019.</w:t>
      </w:r>
      <w:r w:rsidRPr="00AB68AC">
        <w:rPr>
          <w:rFonts w:cs="Times New Roman"/>
          <w:i/>
          <w:iCs/>
        </w:rPr>
        <w:t xml:space="preserve"> </w:t>
      </w:r>
    </w:p>
    <w:p w14:paraId="177E88E2" w14:textId="413468F0" w:rsidR="009F2120" w:rsidRDefault="009F2120" w:rsidP="0060752D">
      <w:pPr>
        <w:rPr>
          <w:b/>
          <w:bCs/>
          <w:color w:val="201F1E"/>
        </w:rPr>
      </w:pPr>
    </w:p>
    <w:p w14:paraId="360B0FB9" w14:textId="77777777" w:rsidR="0081793F" w:rsidRPr="00AB68AC" w:rsidRDefault="0081793F" w:rsidP="0081793F">
      <w:pPr>
        <w:rPr>
          <w:color w:val="201F1E"/>
        </w:rPr>
      </w:pPr>
      <w:proofErr w:type="spellStart"/>
      <w:r w:rsidRPr="00AB68AC">
        <w:rPr>
          <w:color w:val="201F1E"/>
        </w:rPr>
        <w:t>Vorholter</w:t>
      </w:r>
      <w:proofErr w:type="spellEnd"/>
      <w:r w:rsidRPr="00AB68AC">
        <w:rPr>
          <w:color w:val="201F1E"/>
        </w:rPr>
        <w:t xml:space="preserve">, Julia. Homosexuality, pornography, and other ‘modern threats’ – The deployment of sexuality in recent laws and public discourses in Uganda., Critique of Anthropology 2017, 37(1) </w:t>
      </w:r>
    </w:p>
    <w:p w14:paraId="681F9001" w14:textId="77777777" w:rsidR="008F3B26" w:rsidRDefault="008F3B26" w:rsidP="0060752D">
      <w:pPr>
        <w:rPr>
          <w:b/>
          <w:bCs/>
          <w:color w:val="201F1E"/>
        </w:rPr>
      </w:pPr>
    </w:p>
    <w:p w14:paraId="4E2E4078" w14:textId="14B468A7" w:rsidR="00A71E2F" w:rsidRPr="00AB68AC" w:rsidRDefault="00587890" w:rsidP="0060752D">
      <w:pPr>
        <w:rPr>
          <w:b/>
          <w:bCs/>
          <w:color w:val="201F1E"/>
        </w:rPr>
      </w:pPr>
      <w:r w:rsidRPr="00AB68AC">
        <w:rPr>
          <w:b/>
          <w:bCs/>
          <w:color w:val="201F1E"/>
        </w:rPr>
        <w:t>M</w:t>
      </w:r>
      <w:r w:rsidR="00A71E2F" w:rsidRPr="00AB68AC">
        <w:rPr>
          <w:b/>
          <w:bCs/>
          <w:color w:val="201F1E"/>
        </w:rPr>
        <w:t>en and M</w:t>
      </w:r>
      <w:r w:rsidRPr="00AB68AC">
        <w:rPr>
          <w:b/>
          <w:bCs/>
          <w:color w:val="201F1E"/>
        </w:rPr>
        <w:t>asculinity</w:t>
      </w:r>
      <w:r w:rsidR="000D7ADB" w:rsidRPr="00AB68AC">
        <w:rPr>
          <w:b/>
          <w:bCs/>
          <w:color w:val="201F1E"/>
        </w:rPr>
        <w:t xml:space="preserve"> </w:t>
      </w:r>
    </w:p>
    <w:p w14:paraId="4BD0B4CC" w14:textId="4F501479" w:rsidR="00A71E2F" w:rsidRPr="00AB68AC" w:rsidRDefault="00A71E2F" w:rsidP="00A71E2F">
      <w:pPr>
        <w:ind w:left="720" w:hanging="720"/>
        <w:rPr>
          <w:rFonts w:cs="Times New Roman"/>
        </w:rPr>
      </w:pPr>
      <w:proofErr w:type="spellStart"/>
      <w:r w:rsidRPr="00AB68AC">
        <w:rPr>
          <w:rFonts w:cs="Times New Roman"/>
        </w:rPr>
        <w:t>Adu-Poku</w:t>
      </w:r>
      <w:proofErr w:type="spellEnd"/>
      <w:r w:rsidRPr="00AB68AC">
        <w:rPr>
          <w:rFonts w:cs="Times New Roman"/>
        </w:rPr>
        <w:t xml:space="preserve">, Samuel. “Envisioning (Black) Male Feminism: A Cross-Cultural Perspective.” </w:t>
      </w:r>
      <w:r w:rsidRPr="00AB68AC">
        <w:rPr>
          <w:rFonts w:cs="Times New Roman"/>
          <w:i/>
          <w:iCs/>
        </w:rPr>
        <w:t>Journal of Gender Studies</w:t>
      </w:r>
      <w:r w:rsidRPr="00AB68AC">
        <w:rPr>
          <w:rFonts w:cs="Times New Roman"/>
        </w:rPr>
        <w:t xml:space="preserve"> 10, no. 2 (July 2001): 157-67. </w:t>
      </w:r>
    </w:p>
    <w:p w14:paraId="51AC0531" w14:textId="77777777" w:rsidR="00A71E2F" w:rsidRPr="00AB68AC" w:rsidRDefault="00A71E2F" w:rsidP="00E91D4A">
      <w:pPr>
        <w:rPr>
          <w:rFonts w:cs="Times New Roman"/>
        </w:rPr>
      </w:pPr>
    </w:p>
    <w:p w14:paraId="6A37367F" w14:textId="20B4C310" w:rsidR="00587890" w:rsidRPr="00AB68AC" w:rsidRDefault="00587890" w:rsidP="00E91D4A">
      <w:pPr>
        <w:rPr>
          <w:rFonts w:cs="Times New Roman"/>
        </w:rPr>
      </w:pPr>
      <w:proofErr w:type="spellStart"/>
      <w:r w:rsidRPr="00AB68AC">
        <w:rPr>
          <w:rFonts w:cs="Times New Roman"/>
        </w:rPr>
        <w:t>Jasor</w:t>
      </w:r>
      <w:proofErr w:type="spellEnd"/>
      <w:r w:rsidRPr="00AB68AC">
        <w:rPr>
          <w:rFonts w:cs="Times New Roman"/>
        </w:rPr>
        <w:t xml:space="preserve">, </w:t>
      </w:r>
      <w:proofErr w:type="spellStart"/>
      <w:r w:rsidRPr="00AB68AC">
        <w:rPr>
          <w:rFonts w:cs="Times New Roman"/>
        </w:rPr>
        <w:t>Oceane</w:t>
      </w:r>
      <w:proofErr w:type="spellEnd"/>
      <w:r w:rsidRPr="00AB68AC">
        <w:rPr>
          <w:rFonts w:cs="Times New Roman"/>
        </w:rPr>
        <w:t xml:space="preserve">. “Transforming African Masculinity: A Transnational Approach to Gender Justice in South Africa.” </w:t>
      </w:r>
      <w:r w:rsidRPr="00AB68AC">
        <w:rPr>
          <w:rFonts w:cs="Times New Roman"/>
          <w:i/>
          <w:iCs/>
        </w:rPr>
        <w:t>Signs: Journal of Women in Culture and Society</w:t>
      </w:r>
      <w:r w:rsidRPr="00AB68AC">
        <w:rPr>
          <w:rFonts w:cs="Times New Roman"/>
        </w:rPr>
        <w:t xml:space="preserve"> 46, no. 2 (2021): 417-441.</w:t>
      </w:r>
      <w:r w:rsidRPr="00AB68AC">
        <w:rPr>
          <w:rFonts w:cs="Times New Roman"/>
        </w:rPr>
        <w:br/>
      </w:r>
    </w:p>
    <w:p w14:paraId="35BE4113" w14:textId="77777777" w:rsidR="00587890" w:rsidRPr="00AB68AC" w:rsidRDefault="00587890" w:rsidP="00587890">
      <w:pPr>
        <w:pStyle w:val="PlainText"/>
        <w:ind w:left="720" w:hanging="720"/>
        <w:rPr>
          <w:rFonts w:ascii="Times New Roman" w:hAnsi="Times New Roman" w:cs="Times New Roman"/>
          <w:sz w:val="24"/>
          <w:szCs w:val="24"/>
        </w:rPr>
      </w:pPr>
      <w:proofErr w:type="spellStart"/>
      <w:r w:rsidRPr="00AB68AC">
        <w:rPr>
          <w:rFonts w:ascii="Times New Roman" w:hAnsi="Times New Roman" w:cs="Times New Roman"/>
          <w:sz w:val="24"/>
          <w:szCs w:val="24"/>
        </w:rPr>
        <w:t>Kleis</w:t>
      </w:r>
      <w:proofErr w:type="spellEnd"/>
      <w:r w:rsidRPr="00AB68AC">
        <w:rPr>
          <w:rFonts w:ascii="Times New Roman" w:hAnsi="Times New Roman" w:cs="Times New Roman"/>
          <w:sz w:val="24"/>
          <w:szCs w:val="24"/>
        </w:rPr>
        <w:t xml:space="preserve">, Gerald W., and </w:t>
      </w:r>
      <w:proofErr w:type="spellStart"/>
      <w:r w:rsidRPr="00AB68AC">
        <w:rPr>
          <w:rFonts w:ascii="Times New Roman" w:hAnsi="Times New Roman" w:cs="Times New Roman"/>
          <w:sz w:val="24"/>
          <w:szCs w:val="24"/>
        </w:rPr>
        <w:t>Salisu</w:t>
      </w:r>
      <w:proofErr w:type="spellEnd"/>
      <w:r w:rsidRPr="00AB68AC">
        <w:rPr>
          <w:rFonts w:ascii="Times New Roman" w:hAnsi="Times New Roman" w:cs="Times New Roman"/>
          <w:sz w:val="24"/>
          <w:szCs w:val="24"/>
        </w:rPr>
        <w:t xml:space="preserve"> A. Abdullahi. “Masculine Power and Gender Ambiguity in Urban Hausa Society.” </w:t>
      </w:r>
      <w:r w:rsidRPr="00AB68AC">
        <w:rPr>
          <w:rFonts w:ascii="Times New Roman" w:hAnsi="Times New Roman" w:cs="Times New Roman"/>
          <w:i/>
          <w:sz w:val="24"/>
          <w:szCs w:val="24"/>
        </w:rPr>
        <w:t>African Urban Studies</w:t>
      </w:r>
      <w:r w:rsidRPr="00AB68AC">
        <w:rPr>
          <w:rFonts w:ascii="Times New Roman" w:hAnsi="Times New Roman" w:cs="Times New Roman"/>
          <w:sz w:val="24"/>
          <w:szCs w:val="24"/>
        </w:rPr>
        <w:t xml:space="preserve"> 16 (1983): 39-53.</w:t>
      </w:r>
    </w:p>
    <w:p w14:paraId="3B2ADFF8" w14:textId="77777777" w:rsidR="00587890" w:rsidRPr="00AB68AC" w:rsidRDefault="00587890" w:rsidP="00587890">
      <w:pPr>
        <w:ind w:left="720" w:hanging="720"/>
        <w:rPr>
          <w:rFonts w:cs="Times New Roman"/>
        </w:rPr>
      </w:pPr>
    </w:p>
    <w:p w14:paraId="0101E5AC" w14:textId="40D4B4DA" w:rsidR="00587890" w:rsidRPr="00AB68AC" w:rsidRDefault="00587890" w:rsidP="00587890">
      <w:pPr>
        <w:ind w:left="720" w:hanging="720"/>
        <w:rPr>
          <w:rFonts w:cs="Times New Roman"/>
        </w:rPr>
      </w:pPr>
      <w:proofErr w:type="spellStart"/>
      <w:r w:rsidRPr="00AB68AC">
        <w:rPr>
          <w:rFonts w:cs="Times New Roman"/>
        </w:rPr>
        <w:t>Lahiri</w:t>
      </w:r>
      <w:proofErr w:type="spellEnd"/>
      <w:r w:rsidRPr="00AB68AC">
        <w:rPr>
          <w:rFonts w:cs="Times New Roman"/>
        </w:rPr>
        <w:t xml:space="preserve">, </w:t>
      </w:r>
      <w:proofErr w:type="spellStart"/>
      <w:r w:rsidRPr="00AB68AC">
        <w:rPr>
          <w:rFonts w:cs="Times New Roman"/>
        </w:rPr>
        <w:t>Madhumita</w:t>
      </w:r>
      <w:proofErr w:type="spellEnd"/>
      <w:r w:rsidRPr="00AB68AC">
        <w:rPr>
          <w:rFonts w:cs="Times New Roman"/>
        </w:rPr>
        <w:t xml:space="preserve">. “Crimes and Corrections: Bride Burners, Corrective Rapists, and Other Black Misogynists.” </w:t>
      </w:r>
      <w:r w:rsidRPr="00AB68AC">
        <w:rPr>
          <w:rFonts w:cs="Times New Roman"/>
          <w:i/>
          <w:iCs/>
        </w:rPr>
        <w:t>Feminist Africa</w:t>
      </w:r>
      <w:r w:rsidRPr="00AB68AC">
        <w:rPr>
          <w:rFonts w:cs="Times New Roman"/>
        </w:rPr>
        <w:t xml:space="preserve"> 15 (2011): 121-134. </w:t>
      </w:r>
    </w:p>
    <w:p w14:paraId="1B200075" w14:textId="1CD6677C" w:rsidR="00587890" w:rsidRPr="00AB68AC" w:rsidRDefault="00587890" w:rsidP="00E91D4A">
      <w:pPr>
        <w:rPr>
          <w:color w:val="201F1E"/>
        </w:rPr>
      </w:pPr>
    </w:p>
    <w:p w14:paraId="684CB2FF" w14:textId="21184425" w:rsidR="00820C2B" w:rsidRPr="000D1F85" w:rsidRDefault="00820C2B" w:rsidP="000D1F85">
      <w:pPr>
        <w:ind w:left="720" w:hanging="720"/>
        <w:rPr>
          <w:rFonts w:cs="Times New Roman"/>
        </w:rPr>
      </w:pPr>
      <w:proofErr w:type="spellStart"/>
      <w:r w:rsidRPr="00AB68AC">
        <w:rPr>
          <w:rFonts w:cs="Times New Roman"/>
        </w:rPr>
        <w:t>Ratele</w:t>
      </w:r>
      <w:proofErr w:type="spellEnd"/>
      <w:r w:rsidRPr="00AB68AC">
        <w:rPr>
          <w:rFonts w:cs="Times New Roman"/>
        </w:rPr>
        <w:t xml:space="preserve">, </w:t>
      </w:r>
      <w:proofErr w:type="spellStart"/>
      <w:r w:rsidRPr="00AB68AC">
        <w:rPr>
          <w:rFonts w:cs="Times New Roman"/>
        </w:rPr>
        <w:t>Kopano</w:t>
      </w:r>
      <w:proofErr w:type="spellEnd"/>
      <w:r w:rsidRPr="00AB68AC">
        <w:rPr>
          <w:rFonts w:cs="Times New Roman"/>
        </w:rPr>
        <w:t xml:space="preserve">. “Male Sexualities and Masculinities.” In </w:t>
      </w:r>
      <w:r w:rsidRPr="00AB68AC">
        <w:rPr>
          <w:rFonts w:cs="Times New Roman"/>
          <w:i/>
          <w:iCs/>
        </w:rPr>
        <w:t>African Sexualities: A Reader</w:t>
      </w:r>
      <w:r w:rsidRPr="00AB68AC">
        <w:rPr>
          <w:rFonts w:cs="Times New Roman"/>
        </w:rPr>
        <w:t xml:space="preserve">, edited by Sylvia Tamale, 399-419. Dakar: </w:t>
      </w:r>
      <w:proofErr w:type="spellStart"/>
      <w:r w:rsidRPr="00AB68AC">
        <w:rPr>
          <w:rFonts w:cs="Times New Roman"/>
        </w:rPr>
        <w:t>Pambazuka</w:t>
      </w:r>
      <w:proofErr w:type="spellEnd"/>
      <w:r w:rsidRPr="00AB68AC">
        <w:rPr>
          <w:rFonts w:cs="Times New Roman"/>
        </w:rPr>
        <w:t xml:space="preserve"> Press, 2011.</w:t>
      </w:r>
    </w:p>
    <w:p w14:paraId="240B23FE" w14:textId="77777777" w:rsidR="00587890" w:rsidRPr="00AB68AC" w:rsidRDefault="00587890" w:rsidP="00E91D4A">
      <w:pPr>
        <w:rPr>
          <w:color w:val="201F1E"/>
        </w:rPr>
      </w:pPr>
    </w:p>
    <w:p w14:paraId="6E367A1B" w14:textId="7BE98939" w:rsidR="00343123" w:rsidRPr="00AB68AC" w:rsidRDefault="00343123" w:rsidP="00B072B9">
      <w:pPr>
        <w:rPr>
          <w:b/>
          <w:bCs/>
          <w:color w:val="201F1E"/>
        </w:rPr>
      </w:pPr>
      <w:r w:rsidRPr="00AB68AC">
        <w:rPr>
          <w:b/>
          <w:bCs/>
          <w:color w:val="201F1E"/>
        </w:rPr>
        <w:t>Nudity, Pornography and The Politics of Baring it All</w:t>
      </w:r>
    </w:p>
    <w:p w14:paraId="3AF76282" w14:textId="77777777" w:rsidR="00343123" w:rsidRPr="00AB68AC" w:rsidRDefault="00343123" w:rsidP="00343123">
      <w:pPr>
        <w:ind w:left="720" w:hanging="720"/>
        <w:textAlignment w:val="baseline"/>
        <w:outlineLvl w:val="3"/>
        <w:rPr>
          <w:rFonts w:cs="Times New Roman"/>
        </w:rPr>
      </w:pPr>
      <w:r w:rsidRPr="00AB68AC">
        <w:rPr>
          <w:rFonts w:cs="Times New Roman"/>
        </w:rPr>
        <w:t xml:space="preserve">Bakare-Yusuf, Bibi. “Nudity and Morality: Legislating Women’s Bodies and Dress in Nigeria”. </w:t>
      </w:r>
      <w:r w:rsidRPr="00AB68AC">
        <w:rPr>
          <w:rFonts w:cs="Times New Roman"/>
          <w:i/>
          <w:iCs/>
        </w:rPr>
        <w:t xml:space="preserve">East African Journal of Peace and Human Rights </w:t>
      </w:r>
      <w:r w:rsidRPr="00AB68AC">
        <w:rPr>
          <w:rFonts w:cs="Times New Roman"/>
        </w:rPr>
        <w:t>15, no. 1 (2009): 53-68.</w:t>
      </w:r>
    </w:p>
    <w:p w14:paraId="7889EBB7" w14:textId="2A786BA2" w:rsidR="00343123" w:rsidRPr="00AB68AC" w:rsidRDefault="00343123" w:rsidP="00E91D4A">
      <w:pPr>
        <w:rPr>
          <w:color w:val="201F1E"/>
        </w:rPr>
      </w:pPr>
    </w:p>
    <w:p w14:paraId="1FC67212" w14:textId="77777777" w:rsidR="00587890" w:rsidRPr="00AB68AC" w:rsidRDefault="00587890" w:rsidP="00587890">
      <w:pPr>
        <w:pStyle w:val="Heading2"/>
        <w:spacing w:before="0"/>
        <w:ind w:left="720" w:hanging="720"/>
        <w:rPr>
          <w:rFonts w:ascii="Times New Roman" w:hAnsi="Times New Roman" w:cs="Times New Roman"/>
          <w:i/>
          <w:iCs/>
          <w:color w:val="auto"/>
          <w:sz w:val="24"/>
          <w:szCs w:val="24"/>
          <w:lang w:val="en-US"/>
        </w:rPr>
      </w:pPr>
      <w:proofErr w:type="spellStart"/>
      <w:r w:rsidRPr="00AB68AC">
        <w:rPr>
          <w:rFonts w:ascii="Times New Roman" w:hAnsi="Times New Roman" w:cs="Times New Roman"/>
          <w:color w:val="auto"/>
          <w:sz w:val="24"/>
          <w:szCs w:val="24"/>
        </w:rPr>
        <w:t>Matebeni</w:t>
      </w:r>
      <w:proofErr w:type="spellEnd"/>
      <w:r w:rsidRPr="00AB68AC">
        <w:rPr>
          <w:rFonts w:ascii="Times New Roman" w:hAnsi="Times New Roman" w:cs="Times New Roman"/>
          <w:color w:val="auto"/>
          <w:sz w:val="24"/>
          <w:szCs w:val="24"/>
        </w:rPr>
        <w:t xml:space="preserve">, </w:t>
      </w:r>
      <w:proofErr w:type="spellStart"/>
      <w:r w:rsidRPr="00AB68AC">
        <w:rPr>
          <w:rFonts w:ascii="Times New Roman" w:hAnsi="Times New Roman" w:cs="Times New Roman"/>
          <w:color w:val="auto"/>
          <w:sz w:val="24"/>
          <w:szCs w:val="24"/>
        </w:rPr>
        <w:t>Zethu</w:t>
      </w:r>
      <w:proofErr w:type="spellEnd"/>
      <w:r w:rsidRPr="00AB68AC">
        <w:rPr>
          <w:rFonts w:ascii="Times New Roman" w:hAnsi="Times New Roman" w:cs="Times New Roman"/>
          <w:color w:val="auto"/>
          <w:sz w:val="24"/>
          <w:szCs w:val="24"/>
        </w:rPr>
        <w:t>, Jabu C Pereira, and Ignacio Rivera. “Queer(</w:t>
      </w:r>
      <w:proofErr w:type="spellStart"/>
      <w:r w:rsidRPr="00AB68AC">
        <w:rPr>
          <w:rFonts w:ascii="Times New Roman" w:hAnsi="Times New Roman" w:cs="Times New Roman"/>
          <w:color w:val="auto"/>
          <w:sz w:val="24"/>
          <w:szCs w:val="24"/>
        </w:rPr>
        <w:t>ing</w:t>
      </w:r>
      <w:proofErr w:type="spellEnd"/>
      <w:r w:rsidRPr="00AB68AC">
        <w:rPr>
          <w:rFonts w:ascii="Times New Roman" w:hAnsi="Times New Roman" w:cs="Times New Roman"/>
          <w:color w:val="auto"/>
          <w:sz w:val="24"/>
          <w:szCs w:val="24"/>
        </w:rPr>
        <w:t xml:space="preserve">) Porn: A Conversation.” </w:t>
      </w:r>
      <w:r w:rsidRPr="00AB68AC">
        <w:rPr>
          <w:rFonts w:ascii="Times New Roman" w:hAnsi="Times New Roman" w:cs="Times New Roman"/>
          <w:i/>
          <w:iCs/>
          <w:color w:val="auto"/>
          <w:sz w:val="24"/>
          <w:szCs w:val="24"/>
        </w:rPr>
        <w:t xml:space="preserve">Agenda: Empowering Women for Gender Equity </w:t>
      </w:r>
      <w:r w:rsidRPr="00AB68AC">
        <w:rPr>
          <w:rFonts w:ascii="Times New Roman" w:hAnsi="Times New Roman" w:cs="Times New Roman"/>
          <w:color w:val="auto"/>
          <w:sz w:val="24"/>
          <w:szCs w:val="24"/>
        </w:rPr>
        <w:t>26, no. 3 (2012): 61-69.</w:t>
      </w:r>
    </w:p>
    <w:p w14:paraId="68C5FE7D" w14:textId="6B37FD30" w:rsidR="00343123" w:rsidRPr="00AB68AC" w:rsidRDefault="00343123" w:rsidP="00E91D4A">
      <w:pPr>
        <w:rPr>
          <w:color w:val="201F1E"/>
        </w:rPr>
      </w:pPr>
    </w:p>
    <w:p w14:paraId="717468EB" w14:textId="638BE8CB" w:rsidR="0099683F" w:rsidRDefault="0099683F" w:rsidP="0099683F">
      <w:pPr>
        <w:rPr>
          <w:color w:val="201F1E"/>
        </w:rPr>
      </w:pPr>
      <w:r w:rsidRPr="0099683F">
        <w:rPr>
          <w:color w:val="201F1E"/>
        </w:rPr>
        <w:t>Tamale, Sylvia. "Nudity, protest and the law in Uganda." (2017).</w:t>
      </w:r>
      <w:r>
        <w:rPr>
          <w:color w:val="201F1E"/>
        </w:rPr>
        <w:t xml:space="preserve"> </w:t>
      </w:r>
    </w:p>
    <w:p w14:paraId="1FC90C98" w14:textId="77777777" w:rsidR="009925E8" w:rsidRPr="00AB68AC" w:rsidRDefault="009925E8" w:rsidP="00E91D4A">
      <w:pPr>
        <w:rPr>
          <w:color w:val="201F1E"/>
        </w:rPr>
      </w:pPr>
    </w:p>
    <w:p w14:paraId="1CB85D99" w14:textId="47957731" w:rsidR="00343123" w:rsidRPr="00AB68AC" w:rsidRDefault="00587890" w:rsidP="00E91D4A">
      <w:pPr>
        <w:rPr>
          <w:b/>
          <w:bCs/>
          <w:color w:val="201F1E"/>
        </w:rPr>
      </w:pPr>
      <w:r w:rsidRPr="00AB68AC">
        <w:rPr>
          <w:b/>
          <w:bCs/>
          <w:color w:val="201F1E"/>
        </w:rPr>
        <w:t>Religion</w:t>
      </w:r>
      <w:r w:rsidR="00101A8D" w:rsidRPr="00AB68AC">
        <w:rPr>
          <w:b/>
          <w:bCs/>
          <w:color w:val="201F1E"/>
        </w:rPr>
        <w:t xml:space="preserve"> and Spirituality</w:t>
      </w:r>
    </w:p>
    <w:p w14:paraId="3808721D" w14:textId="77777777" w:rsidR="00101A8D" w:rsidRPr="00AB68AC" w:rsidRDefault="00101A8D" w:rsidP="00101A8D">
      <w:pPr>
        <w:ind w:left="720" w:hanging="720"/>
        <w:rPr>
          <w:rFonts w:cs="Times New Roman"/>
        </w:rPr>
      </w:pPr>
      <w:proofErr w:type="spellStart"/>
      <w:r w:rsidRPr="00AB68AC">
        <w:rPr>
          <w:rFonts w:cs="Times New Roman"/>
        </w:rPr>
        <w:t>Gaudio</w:t>
      </w:r>
      <w:proofErr w:type="spellEnd"/>
      <w:r w:rsidRPr="00AB68AC">
        <w:rPr>
          <w:rFonts w:cs="Times New Roman"/>
        </w:rPr>
        <w:t xml:space="preserve">, Rudolf Pell. </w:t>
      </w:r>
      <w:r w:rsidRPr="00AB68AC">
        <w:rPr>
          <w:rStyle w:val="a-size-large"/>
          <w:rFonts w:cs="Times New Roman"/>
          <w:i/>
        </w:rPr>
        <w:t>Allah Made Us: Sexual Outlaws in an Islamic African City</w:t>
      </w:r>
      <w:r w:rsidRPr="00AB68AC">
        <w:rPr>
          <w:rStyle w:val="a-size-large"/>
          <w:rFonts w:cs="Times New Roman"/>
        </w:rPr>
        <w:t xml:space="preserve">. Hoboken, NJ: Wiley-Blackwell, 2009. </w:t>
      </w:r>
    </w:p>
    <w:p w14:paraId="4624A576" w14:textId="77777777" w:rsidR="00101A8D" w:rsidRPr="00AB68AC" w:rsidRDefault="00101A8D" w:rsidP="00587890">
      <w:pPr>
        <w:pStyle w:val="Default"/>
        <w:ind w:left="720" w:hanging="720"/>
        <w:rPr>
          <w:rFonts w:ascii="Times New Roman" w:hAnsi="Times New Roman" w:cs="Times New Roman"/>
        </w:rPr>
      </w:pPr>
    </w:p>
    <w:p w14:paraId="6716EC68" w14:textId="370E9987" w:rsidR="00587890" w:rsidRPr="00AB68AC" w:rsidRDefault="00587890" w:rsidP="00587890">
      <w:pPr>
        <w:pStyle w:val="Default"/>
        <w:ind w:left="720" w:hanging="720"/>
        <w:rPr>
          <w:rFonts w:ascii="Times New Roman" w:hAnsi="Times New Roman" w:cs="Times New Roman"/>
        </w:rPr>
      </w:pPr>
      <w:r w:rsidRPr="00AB68AC">
        <w:rPr>
          <w:rFonts w:ascii="Times New Roman" w:hAnsi="Times New Roman" w:cs="Times New Roman"/>
        </w:rPr>
        <w:t xml:space="preserve">Mahomed, Nadeem, and </w:t>
      </w:r>
      <w:proofErr w:type="spellStart"/>
      <w:r w:rsidRPr="00AB68AC">
        <w:rPr>
          <w:rFonts w:ascii="Times New Roman" w:hAnsi="Times New Roman" w:cs="Times New Roman"/>
        </w:rPr>
        <w:t>Sa’diyya</w:t>
      </w:r>
      <w:proofErr w:type="spellEnd"/>
      <w:r w:rsidRPr="00AB68AC">
        <w:rPr>
          <w:rFonts w:ascii="Times New Roman" w:hAnsi="Times New Roman" w:cs="Times New Roman"/>
        </w:rPr>
        <w:t xml:space="preserve"> Shaikh. “</w:t>
      </w:r>
      <w:r w:rsidRPr="00AB68AC">
        <w:rPr>
          <w:rFonts w:ascii="Times New Roman" w:hAnsi="Times New Roman" w:cs="Times New Roman"/>
          <w:bCs/>
          <w:color w:val="auto"/>
        </w:rPr>
        <w:t>Islam Between Margins: Reassessing Gender and Sexuality in Islam.”</w:t>
      </w:r>
      <w:r w:rsidRPr="00AB68AC">
        <w:rPr>
          <w:rFonts w:ascii="Times New Roman" w:hAnsi="Times New Roman" w:cs="Times New Roman"/>
        </w:rPr>
        <w:t xml:space="preserve"> </w:t>
      </w:r>
      <w:r w:rsidRPr="00AB68AC">
        <w:rPr>
          <w:rFonts w:ascii="Times New Roman" w:hAnsi="Times New Roman" w:cs="Times New Roman"/>
          <w:i/>
        </w:rPr>
        <w:t>The African Journal of Gender and Religion</w:t>
      </w:r>
      <w:r w:rsidRPr="00AB68AC">
        <w:rPr>
          <w:rFonts w:ascii="Times New Roman" w:hAnsi="Times New Roman" w:cs="Times New Roman"/>
        </w:rPr>
        <w:t xml:space="preserve"> </w:t>
      </w:r>
      <w:r w:rsidRPr="00AB68AC">
        <w:rPr>
          <w:rFonts w:ascii="Times New Roman" w:hAnsi="Times New Roman" w:cs="Times New Roman"/>
          <w:iCs/>
        </w:rPr>
        <w:t xml:space="preserve">24, no. 2 (December 2018): </w:t>
      </w:r>
      <w:r w:rsidRPr="00AB68AC">
        <w:rPr>
          <w:rFonts w:ascii="Times New Roman" w:hAnsi="Times New Roman" w:cs="Times New Roman"/>
        </w:rPr>
        <w:t xml:space="preserve">120-138. </w:t>
      </w:r>
    </w:p>
    <w:p w14:paraId="463B2C15" w14:textId="4C0A66F2" w:rsidR="00587890" w:rsidRPr="00AB68AC" w:rsidRDefault="00587890" w:rsidP="00E91D4A">
      <w:pPr>
        <w:rPr>
          <w:color w:val="201F1E"/>
        </w:rPr>
      </w:pPr>
    </w:p>
    <w:p w14:paraId="7B73BD87" w14:textId="0FE4C24F" w:rsidR="00587890" w:rsidRDefault="00101A8D" w:rsidP="009A679F">
      <w:pPr>
        <w:ind w:left="720" w:hanging="720"/>
        <w:rPr>
          <w:rFonts w:cs="Times New Roman"/>
        </w:rPr>
      </w:pPr>
      <w:proofErr w:type="spellStart"/>
      <w:r w:rsidRPr="00AB68AC">
        <w:rPr>
          <w:rFonts w:cs="Times New Roman"/>
        </w:rPr>
        <w:t>Marouan</w:t>
      </w:r>
      <w:proofErr w:type="spellEnd"/>
      <w:r w:rsidRPr="00AB68AC">
        <w:rPr>
          <w:rFonts w:cs="Times New Roman"/>
        </w:rPr>
        <w:t xml:space="preserve">, </w:t>
      </w:r>
      <w:proofErr w:type="spellStart"/>
      <w:r w:rsidRPr="00AB68AC">
        <w:rPr>
          <w:rFonts w:cs="Times New Roman"/>
        </w:rPr>
        <w:t>Maha</w:t>
      </w:r>
      <w:proofErr w:type="spellEnd"/>
      <w:r w:rsidRPr="00AB68AC">
        <w:rPr>
          <w:rFonts w:cs="Times New Roman"/>
        </w:rPr>
        <w:t xml:space="preserve">. </w:t>
      </w:r>
      <w:r w:rsidRPr="00AB68AC">
        <w:rPr>
          <w:rFonts w:cs="Times New Roman"/>
          <w:i/>
          <w:iCs/>
        </w:rPr>
        <w:t>Witches, Goddesses and Angry Spirits: The Politics of Spiritual Liberation in African Diaspora Women’s Fiction</w:t>
      </w:r>
      <w:r w:rsidRPr="00AB68AC">
        <w:rPr>
          <w:rFonts w:cs="Times New Roman"/>
        </w:rPr>
        <w:t>. Columbus: Ohio State University Press, 2013.</w:t>
      </w:r>
    </w:p>
    <w:p w14:paraId="55FF0F43" w14:textId="34F970E1" w:rsidR="00336757" w:rsidRDefault="00336757" w:rsidP="009A679F">
      <w:pPr>
        <w:ind w:left="720" w:hanging="720"/>
        <w:rPr>
          <w:rFonts w:cs="Times New Roman"/>
        </w:rPr>
      </w:pPr>
    </w:p>
    <w:p w14:paraId="606C4506" w14:textId="0FBFCD6C" w:rsidR="00336757" w:rsidRDefault="00336757" w:rsidP="009A679F">
      <w:pPr>
        <w:ind w:left="720" w:hanging="720"/>
        <w:rPr>
          <w:rFonts w:cs="Times New Roman"/>
        </w:rPr>
      </w:pPr>
      <w:proofErr w:type="spellStart"/>
      <w:r>
        <w:rPr>
          <w:rFonts w:cs="Times New Roman"/>
        </w:rPr>
        <w:t>Azizaa</w:t>
      </w:r>
      <w:proofErr w:type="spellEnd"/>
      <w:r>
        <w:rPr>
          <w:rFonts w:cs="Times New Roman"/>
        </w:rPr>
        <w:t xml:space="preserve"> Music Video: </w:t>
      </w:r>
      <w:hyperlink r:id="rId10" w:history="1">
        <w:r w:rsidRPr="00336757">
          <w:rPr>
            <w:rStyle w:val="Hyperlink"/>
            <w:rFonts w:cs="Times New Roman"/>
          </w:rPr>
          <w:t>Black Magic Woman</w:t>
        </w:r>
      </w:hyperlink>
    </w:p>
    <w:p w14:paraId="5FD99B27" w14:textId="4C385411" w:rsidR="00336757" w:rsidRDefault="00336757" w:rsidP="009A679F">
      <w:pPr>
        <w:ind w:left="720" w:hanging="720"/>
        <w:rPr>
          <w:rFonts w:cs="Times New Roman"/>
        </w:rPr>
      </w:pPr>
    </w:p>
    <w:p w14:paraId="785F5AAE" w14:textId="044B893F" w:rsidR="00864CFC" w:rsidRPr="00596B02" w:rsidRDefault="00336757" w:rsidP="00596B02">
      <w:pPr>
        <w:ind w:left="720" w:hanging="720"/>
        <w:rPr>
          <w:rFonts w:cs="Times New Roman"/>
        </w:rPr>
      </w:pPr>
      <w:r>
        <w:rPr>
          <w:rFonts w:cs="Times New Roman"/>
        </w:rPr>
        <w:t>Roger Ross Williams: God Loves Uganda</w:t>
      </w:r>
      <w:r w:rsidR="0061737C">
        <w:rPr>
          <w:rFonts w:cs="Times New Roman"/>
        </w:rPr>
        <w:t xml:space="preserve"> (film)</w:t>
      </w:r>
    </w:p>
    <w:p w14:paraId="02CC5B03" w14:textId="77777777" w:rsidR="001002FF" w:rsidRDefault="001002FF" w:rsidP="00864CFC">
      <w:pPr>
        <w:spacing w:after="40"/>
        <w:rPr>
          <w:rFonts w:cs="Times New Roman"/>
          <w:b/>
          <w:bCs/>
          <w:u w:val="single"/>
        </w:rPr>
      </w:pPr>
    </w:p>
    <w:p w14:paraId="58E230D7" w14:textId="77777777" w:rsidR="001002FF" w:rsidRDefault="001002FF" w:rsidP="00864CFC">
      <w:pPr>
        <w:spacing w:after="40"/>
        <w:rPr>
          <w:rFonts w:cs="Times New Roman"/>
          <w:b/>
          <w:bCs/>
          <w:u w:val="single"/>
        </w:rPr>
      </w:pPr>
    </w:p>
    <w:p w14:paraId="5F613B4D" w14:textId="74CC338A" w:rsidR="00864CFC" w:rsidRPr="00E12183" w:rsidRDefault="00864CFC" w:rsidP="00864CFC">
      <w:pPr>
        <w:spacing w:after="40"/>
        <w:rPr>
          <w:rFonts w:cs="Times New Roman"/>
          <w:u w:val="single"/>
        </w:rPr>
      </w:pPr>
      <w:r w:rsidRPr="00E12183">
        <w:rPr>
          <w:rFonts w:cs="Times New Roman"/>
          <w:b/>
          <w:bCs/>
          <w:u w:val="single"/>
        </w:rPr>
        <w:t>Guidelines Related to Absences for Religious Observances</w:t>
      </w:r>
    </w:p>
    <w:p w14:paraId="622A6A42" w14:textId="2698CF23" w:rsidR="00864CFC" w:rsidRDefault="00864CFC" w:rsidP="00864CFC">
      <w:pPr>
        <w:spacing w:after="40"/>
        <w:rPr>
          <w:rFonts w:cs="Times New Roman"/>
          <w:b/>
        </w:rPr>
      </w:pPr>
      <w:r w:rsidRPr="00E12183">
        <w:rPr>
          <w:rFonts w:cs="Times New Roman"/>
        </w:rPr>
        <w:t>Any student who must miss class in order to observe a religious holiday retains that right in this course and University, which respect all faiths. However, all students are expected to complete all assignments and examinations.</w:t>
      </w:r>
      <w:r w:rsidRPr="00E12183">
        <w:rPr>
          <w:rFonts w:cs="Times New Roman"/>
          <w:b/>
        </w:rPr>
        <w:t xml:space="preserve"> </w:t>
      </w:r>
      <w:r w:rsidRPr="004A0BD2">
        <w:rPr>
          <w:rFonts w:cs="Times New Roman"/>
        </w:rPr>
        <w:t>Therefore, all students must notify the professor ahead of missing class in order to ensure that we can coordinate any make up work.</w:t>
      </w:r>
      <w:r w:rsidRPr="00E12183">
        <w:rPr>
          <w:rFonts w:cs="Times New Roman"/>
          <w:b/>
        </w:rPr>
        <w:t xml:space="preserve"> </w:t>
      </w:r>
      <w:r>
        <w:rPr>
          <w:rFonts w:cs="Times New Roman"/>
          <w:b/>
        </w:rPr>
        <w:t>Failure to notify the professor before two weeks of the event can forfeit a student’s right to make up the work.</w:t>
      </w:r>
    </w:p>
    <w:p w14:paraId="103B54E0" w14:textId="77777777" w:rsidR="00864CFC" w:rsidRDefault="00864CFC" w:rsidP="00864CFC">
      <w:pPr>
        <w:spacing w:after="40"/>
        <w:rPr>
          <w:rFonts w:cs="Times New Roman"/>
          <w:b/>
          <w:bCs/>
          <w:u w:val="single"/>
        </w:rPr>
      </w:pPr>
    </w:p>
    <w:p w14:paraId="4F33C242" w14:textId="77777777" w:rsidR="00864CFC" w:rsidRPr="00E12183" w:rsidRDefault="00864CFC" w:rsidP="00864CFC">
      <w:pPr>
        <w:spacing w:after="40"/>
        <w:rPr>
          <w:rFonts w:cs="Times New Roman"/>
        </w:rPr>
      </w:pPr>
    </w:p>
    <w:p w14:paraId="0FB03040" w14:textId="77777777" w:rsidR="00864CFC" w:rsidRPr="00E12183" w:rsidRDefault="00864CFC" w:rsidP="00864CFC">
      <w:pPr>
        <w:spacing w:after="40"/>
        <w:rPr>
          <w:rFonts w:cs="Times New Roman"/>
          <w:b/>
          <w:bCs/>
          <w:u w:val="single"/>
        </w:rPr>
      </w:pPr>
      <w:r w:rsidRPr="00E12183">
        <w:rPr>
          <w:rFonts w:cs="Times New Roman"/>
          <w:b/>
          <w:bCs/>
          <w:u w:val="single"/>
        </w:rPr>
        <w:t>Student Access Services (SAS):</w:t>
      </w:r>
    </w:p>
    <w:p w14:paraId="7537CBA8" w14:textId="41E24E84" w:rsidR="00864CFC" w:rsidRPr="00E12183" w:rsidRDefault="00864CFC" w:rsidP="00864CFC">
      <w:pPr>
        <w:spacing w:after="40"/>
        <w:rPr>
          <w:rFonts w:cs="Times New Roman"/>
          <w:u w:val="single"/>
        </w:rPr>
      </w:pPr>
      <w:r w:rsidRPr="00E12183">
        <w:rPr>
          <w:rFonts w:cs="Times New Roman"/>
          <w:i/>
        </w:rPr>
        <w:t xml:space="preserve">Students </w:t>
      </w:r>
      <w:r w:rsidR="008963C9">
        <w:rPr>
          <w:rFonts w:cs="Times New Roman"/>
          <w:i/>
        </w:rPr>
        <w:t>who need accommodations for a disability</w:t>
      </w:r>
      <w:r w:rsidRPr="00E12183">
        <w:rPr>
          <w:rFonts w:cs="Times New Roman"/>
          <w:i/>
        </w:rPr>
        <w:t xml:space="preserve"> must inform me within the first week of class</w:t>
      </w:r>
      <w:r w:rsidR="008963C9">
        <w:rPr>
          <w:rFonts w:cs="Times New Roman"/>
          <w:i/>
        </w:rPr>
        <w:t>, so that we can proactively address implementation</w:t>
      </w:r>
      <w:r w:rsidRPr="00E12183">
        <w:rPr>
          <w:rFonts w:cs="Times New Roman"/>
          <w:i/>
        </w:rPr>
        <w:t>.</w:t>
      </w:r>
      <w:r w:rsidRPr="00E12183">
        <w:rPr>
          <w:rFonts w:cs="Times New Roman"/>
        </w:rPr>
        <w:t xml:space="preserve"> If you believe you need accommodations for a disability, please contact for Student Access Services (SAS). In accordance with Section 504 of the Rehabilitation Act of 1973 and the Americans with Disabilities Act of 1990, qualified individuals with disabilities will not be discriminated against in any programs, or services available at Hofstra University.</w:t>
      </w:r>
    </w:p>
    <w:p w14:paraId="788CE603" w14:textId="77777777" w:rsidR="00864CFC" w:rsidRPr="00E12183" w:rsidRDefault="00864CFC" w:rsidP="00864CFC">
      <w:pPr>
        <w:spacing w:after="40"/>
        <w:rPr>
          <w:rFonts w:cs="Times New Roman"/>
        </w:rPr>
      </w:pPr>
      <w:r w:rsidRPr="00E12183">
        <w:rPr>
          <w:rFonts w:cs="Times New Roman"/>
        </w:rPr>
        <w:t> </w:t>
      </w:r>
    </w:p>
    <w:p w14:paraId="5060F634" w14:textId="77777777" w:rsidR="00864CFC" w:rsidRPr="00E12183" w:rsidRDefault="00864CFC" w:rsidP="00864CFC">
      <w:pPr>
        <w:spacing w:after="40"/>
        <w:rPr>
          <w:rFonts w:cs="Times New Roman"/>
        </w:rPr>
      </w:pPr>
      <w:r w:rsidRPr="00E12183">
        <w:rPr>
          <w:rFonts w:cs="Times New Roman"/>
        </w:rPr>
        <w:t>Individuals with disabilities are entitled to accommodations designed to facilitate full access to all programs and services. SAS is responsible for coordinating disability-related accommodations and will provide students with documented disabilities accommodation letters, as appropriate.</w:t>
      </w:r>
    </w:p>
    <w:p w14:paraId="32D1FF22" w14:textId="77777777" w:rsidR="00864CFC" w:rsidRPr="00E12183" w:rsidRDefault="00864CFC" w:rsidP="00864CFC">
      <w:pPr>
        <w:spacing w:after="40"/>
        <w:rPr>
          <w:rFonts w:cs="Times New Roman"/>
        </w:rPr>
      </w:pPr>
      <w:r w:rsidRPr="00E12183">
        <w:rPr>
          <w:rFonts w:cs="Times New Roman"/>
        </w:rPr>
        <w:t> </w:t>
      </w:r>
    </w:p>
    <w:p w14:paraId="3D3597D0" w14:textId="647A5B8A" w:rsidR="00864CFC" w:rsidRPr="00E12183" w:rsidRDefault="00864CFC" w:rsidP="00864CFC">
      <w:pPr>
        <w:spacing w:after="40"/>
        <w:rPr>
          <w:rFonts w:cs="Times New Roman"/>
        </w:rPr>
      </w:pPr>
      <w:r w:rsidRPr="00E12183">
        <w:rPr>
          <w:rFonts w:cs="Times New Roman"/>
        </w:rPr>
        <w:t xml:space="preserve">Please note that accommodations may require early planning and are not retroactive; please contact SSD as soon as possible. </w:t>
      </w:r>
      <w:r w:rsidRPr="00E12183">
        <w:rPr>
          <w:rFonts w:cs="Times New Roman"/>
          <w:i/>
        </w:rPr>
        <w:t>All students are responsible for providing accommodation letters to each instructor and for discussing with them the specific accommodations needed and how they can be best implemented in each course</w:t>
      </w:r>
      <w:r w:rsidRPr="00E12183">
        <w:rPr>
          <w:rFonts w:cs="Times New Roman"/>
        </w:rPr>
        <w:t xml:space="preserve">. </w:t>
      </w:r>
      <w:r w:rsidR="0014695E" w:rsidRPr="0014695E">
        <w:rPr>
          <w:rFonts w:cs="Times New Roman"/>
        </w:rPr>
        <w:t>For more information on services provided by the university and for submission of documentation, please contact Student Access Services, 107 Student Center, 516-463-7075.</w:t>
      </w:r>
    </w:p>
    <w:p w14:paraId="4C3B5785" w14:textId="77777777" w:rsidR="00864CFC" w:rsidRDefault="00864CFC" w:rsidP="00864CFC">
      <w:pPr>
        <w:spacing w:after="40"/>
        <w:rPr>
          <w:rFonts w:cs="Times New Roman"/>
          <w:b/>
          <w:bCs/>
        </w:rPr>
      </w:pPr>
    </w:p>
    <w:p w14:paraId="5A38C1B3" w14:textId="386BBA44" w:rsidR="00643722" w:rsidRDefault="00643722" w:rsidP="00643722">
      <w:r w:rsidRPr="00422B23">
        <w:rPr>
          <w:rFonts w:cs="Times New Roman"/>
          <w:b/>
          <w:bCs/>
        </w:rPr>
        <w:t xml:space="preserve">All additional course policies can be found here. Please note that </w:t>
      </w:r>
      <w:r w:rsidR="00854F80">
        <w:rPr>
          <w:rFonts w:cs="Times New Roman"/>
          <w:b/>
          <w:bCs/>
        </w:rPr>
        <w:t>there are new and important policies relating to pregnancy, illness and classroom conduct. Y</w:t>
      </w:r>
      <w:r w:rsidRPr="00643722">
        <w:rPr>
          <w:rFonts w:cs="Times New Roman"/>
          <w:b/>
          <w:bCs/>
        </w:rPr>
        <w:t>ou are required to read this information at the beginning of the semester</w:t>
      </w:r>
      <w:r>
        <w:rPr>
          <w:rFonts w:cs="Times New Roman"/>
        </w:rPr>
        <w:t xml:space="preserve">: </w:t>
      </w:r>
      <w:hyperlink r:id="rId11" w:tooltip="Original URL:&#10;https://www.hofstra.edu/provost/course-syllabi-information.html&#10;&#10;Click to follow link." w:history="1">
        <w:r>
          <w:rPr>
            <w:rStyle w:val="Hyperlink"/>
            <w:rFonts w:ascii="Calibri" w:hAnsi="Calibri" w:cs="Calibri"/>
            <w:color w:val="044A91"/>
            <w:sz w:val="22"/>
            <w:szCs w:val="22"/>
          </w:rPr>
          <w:t>https://www.hofstra.edu/provost/course-syllabi-information.html</w:t>
        </w:r>
      </w:hyperlink>
    </w:p>
    <w:p w14:paraId="56B59B55" w14:textId="4E6BD122" w:rsidR="00864CFC" w:rsidRPr="00A15A04" w:rsidRDefault="00864CFC" w:rsidP="00643722">
      <w:pPr>
        <w:rPr>
          <w:rFonts w:cs="Times New Roman"/>
        </w:rPr>
      </w:pPr>
    </w:p>
    <w:sectPr w:rsidR="00864CFC" w:rsidRPr="00A15A04" w:rsidSect="001A3271">
      <w:footerReference w:type="even" r:id="rId12"/>
      <w:footerReference w:type="defaul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DE8A6" w14:textId="77777777" w:rsidR="005C4A1F" w:rsidRDefault="005C4A1F" w:rsidP="00A15A04">
      <w:r>
        <w:separator/>
      </w:r>
    </w:p>
  </w:endnote>
  <w:endnote w:type="continuationSeparator" w:id="0">
    <w:p w14:paraId="422F375B" w14:textId="77777777" w:rsidR="005C4A1F" w:rsidRDefault="005C4A1F" w:rsidP="00A1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2DBD" w14:textId="77777777" w:rsidR="00864CFC" w:rsidRDefault="00864CFC" w:rsidP="007556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B5B2A" w14:textId="77777777" w:rsidR="00864CFC" w:rsidRDefault="00864CFC" w:rsidP="000B78C6">
    <w:pPr>
      <w:pStyle w:val="Footer"/>
      <w:ind w:right="360"/>
    </w:pPr>
  </w:p>
  <w:p w14:paraId="5F4A50ED" w14:textId="77777777" w:rsidR="00DE5AD7" w:rsidRDefault="00DE5AD7"/>
  <w:p w14:paraId="17EAB34B" w14:textId="77777777" w:rsidR="00DE5AD7" w:rsidRDefault="00DE5AD7"/>
  <w:p w14:paraId="2813ACDE" w14:textId="77777777" w:rsidR="00DE5AD7" w:rsidRDefault="00DE5AD7"/>
  <w:p w14:paraId="15E31C24" w14:textId="77777777" w:rsidR="00DE5AD7" w:rsidRDefault="00DE5AD7"/>
  <w:p w14:paraId="5DF09200" w14:textId="77777777" w:rsidR="00DE5AD7" w:rsidRDefault="00DE5AD7"/>
  <w:p w14:paraId="2CEFD30A" w14:textId="77777777" w:rsidR="00DE5AD7" w:rsidRDefault="00DE5A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2A26" w14:textId="77777777" w:rsidR="00864CFC" w:rsidRDefault="00864CFC" w:rsidP="007556C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55D489" w14:textId="242CE3A4" w:rsidR="00864CFC" w:rsidRDefault="00CA5872" w:rsidP="000B78C6">
    <w:pPr>
      <w:pStyle w:val="Footer"/>
      <w:ind w:right="360"/>
    </w:pPr>
    <w:r>
      <w:t>Office – 205E Davison Hall</w:t>
    </w:r>
    <w:r>
      <w:tab/>
    </w:r>
    <w:r w:rsidR="00DB1147">
      <w:t xml:space="preserve">        Meeting Place</w:t>
    </w:r>
    <w:r>
      <w:t xml:space="preserve"> TBD  </w:t>
    </w:r>
    <w:r w:rsidR="00DB1147">
      <w:t xml:space="preserve">      </w:t>
    </w:r>
    <w:r>
      <w:t xml:space="preserve">Office </w:t>
    </w:r>
    <w:r w:rsidR="00DB1147">
      <w:t>H</w:t>
    </w:r>
    <w:r>
      <w:t xml:space="preserve">ours TBD </w:t>
    </w:r>
  </w:p>
  <w:p w14:paraId="361C747B" w14:textId="77777777" w:rsidR="00DE5AD7" w:rsidRDefault="00DE5AD7"/>
  <w:p w14:paraId="268A8C97" w14:textId="77777777" w:rsidR="00DE5AD7" w:rsidRDefault="00DE5AD7"/>
  <w:p w14:paraId="2A0A876E" w14:textId="77777777" w:rsidR="00DE5AD7" w:rsidRDefault="00DE5AD7"/>
  <w:p w14:paraId="1A8AB01E" w14:textId="77777777" w:rsidR="00DE5AD7" w:rsidRDefault="00DE5AD7"/>
  <w:p w14:paraId="41E466DA" w14:textId="77777777" w:rsidR="00DE5AD7" w:rsidRDefault="00DE5AD7"/>
  <w:p w14:paraId="77566607" w14:textId="77777777" w:rsidR="00DE5AD7" w:rsidRDefault="00DE5A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5981531"/>
      <w:docPartObj>
        <w:docPartGallery w:val="Page Numbers (Bottom of Page)"/>
        <w:docPartUnique/>
      </w:docPartObj>
    </w:sdtPr>
    <w:sdtEndPr>
      <w:rPr>
        <w:rStyle w:val="PageNumber"/>
      </w:rPr>
    </w:sdtEndPr>
    <w:sdtContent>
      <w:p w14:paraId="58D0C2F2" w14:textId="5ECAE049" w:rsidR="00A15A04" w:rsidRDefault="00A15A04" w:rsidP="00FA3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21F899" w14:textId="77777777" w:rsidR="00A15A04" w:rsidRDefault="00A15A04" w:rsidP="00A15A04">
    <w:pPr>
      <w:pStyle w:val="Footer"/>
      <w:ind w:right="360"/>
    </w:pPr>
  </w:p>
  <w:p w14:paraId="20D83602" w14:textId="77777777" w:rsidR="00B11AEA" w:rsidRDefault="00B11AEA"/>
  <w:p w14:paraId="23A5E5CB" w14:textId="77777777" w:rsidR="00B11AEA" w:rsidRDefault="00B11A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8739628"/>
      <w:docPartObj>
        <w:docPartGallery w:val="Page Numbers (Bottom of Page)"/>
        <w:docPartUnique/>
      </w:docPartObj>
    </w:sdtPr>
    <w:sdtEndPr>
      <w:rPr>
        <w:rStyle w:val="PageNumber"/>
      </w:rPr>
    </w:sdtEndPr>
    <w:sdtContent>
      <w:p w14:paraId="2F2E83C4" w14:textId="63428952" w:rsidR="00A15A04" w:rsidRDefault="00A15A04" w:rsidP="00FA3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FE852B4" w14:textId="77777777" w:rsidR="00A15A04" w:rsidRDefault="00A15A04" w:rsidP="00A15A04">
    <w:pPr>
      <w:pStyle w:val="Footer"/>
      <w:ind w:right="360"/>
    </w:pPr>
  </w:p>
  <w:p w14:paraId="2FEDFF2C" w14:textId="77777777" w:rsidR="00B11AEA" w:rsidRDefault="00B11AEA"/>
  <w:p w14:paraId="7A069047" w14:textId="77777777" w:rsidR="00B11AEA" w:rsidRDefault="00B11A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CBF07" w14:textId="77777777" w:rsidR="005C4A1F" w:rsidRDefault="005C4A1F" w:rsidP="00A15A04">
      <w:r>
        <w:separator/>
      </w:r>
    </w:p>
  </w:footnote>
  <w:footnote w:type="continuationSeparator" w:id="0">
    <w:p w14:paraId="64E0FBDE" w14:textId="77777777" w:rsidR="005C4A1F" w:rsidRDefault="005C4A1F" w:rsidP="00A1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8E1A" w14:textId="4647877C" w:rsidR="00DA1D28" w:rsidRDefault="00DA1D28">
    <w:pPr>
      <w:pStyle w:val="Header"/>
    </w:pPr>
    <w:r>
      <w:t>AFST/LGBT 130</w:t>
    </w:r>
    <w:r>
      <w:tab/>
      <w:t>Gender and Sexuality in Africa</w:t>
    </w:r>
    <w:r>
      <w:tab/>
      <w:t>Hofstra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51E99"/>
    <w:multiLevelType w:val="hybridMultilevel"/>
    <w:tmpl w:val="D506D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F672E"/>
    <w:multiLevelType w:val="hybridMultilevel"/>
    <w:tmpl w:val="38825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E354C9"/>
    <w:multiLevelType w:val="hybridMultilevel"/>
    <w:tmpl w:val="3614EB74"/>
    <w:lvl w:ilvl="0" w:tplc="2C120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93019D"/>
    <w:multiLevelType w:val="hybridMultilevel"/>
    <w:tmpl w:val="1B88705A"/>
    <w:lvl w:ilvl="0" w:tplc="2C120D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4A"/>
    <w:rsid w:val="000031B7"/>
    <w:rsid w:val="000557AE"/>
    <w:rsid w:val="00075D2D"/>
    <w:rsid w:val="000853B1"/>
    <w:rsid w:val="000B589C"/>
    <w:rsid w:val="000D1F85"/>
    <w:rsid w:val="000D7ADB"/>
    <w:rsid w:val="000F4FE6"/>
    <w:rsid w:val="001002FF"/>
    <w:rsid w:val="00101A8D"/>
    <w:rsid w:val="00104213"/>
    <w:rsid w:val="0011240F"/>
    <w:rsid w:val="00124AEA"/>
    <w:rsid w:val="00136D2F"/>
    <w:rsid w:val="001427B2"/>
    <w:rsid w:val="0014695E"/>
    <w:rsid w:val="00187E38"/>
    <w:rsid w:val="001A0821"/>
    <w:rsid w:val="001A3271"/>
    <w:rsid w:val="001B10CF"/>
    <w:rsid w:val="001F063F"/>
    <w:rsid w:val="001F0A06"/>
    <w:rsid w:val="00211637"/>
    <w:rsid w:val="00214B52"/>
    <w:rsid w:val="002B719C"/>
    <w:rsid w:val="002D627D"/>
    <w:rsid w:val="002F3924"/>
    <w:rsid w:val="002F50CC"/>
    <w:rsid w:val="00305D5A"/>
    <w:rsid w:val="00332785"/>
    <w:rsid w:val="00336757"/>
    <w:rsid w:val="00343123"/>
    <w:rsid w:val="003577D5"/>
    <w:rsid w:val="003665B2"/>
    <w:rsid w:val="00380D47"/>
    <w:rsid w:val="00386D91"/>
    <w:rsid w:val="003C2898"/>
    <w:rsid w:val="003E4C6C"/>
    <w:rsid w:val="003F3825"/>
    <w:rsid w:val="0040523A"/>
    <w:rsid w:val="0042055B"/>
    <w:rsid w:val="0042180F"/>
    <w:rsid w:val="00422B23"/>
    <w:rsid w:val="00440B75"/>
    <w:rsid w:val="00460ADE"/>
    <w:rsid w:val="004943FA"/>
    <w:rsid w:val="004C2153"/>
    <w:rsid w:val="004E04A5"/>
    <w:rsid w:val="004E44F6"/>
    <w:rsid w:val="004F5D2B"/>
    <w:rsid w:val="004F7E17"/>
    <w:rsid w:val="00505CB2"/>
    <w:rsid w:val="00525021"/>
    <w:rsid w:val="005264A7"/>
    <w:rsid w:val="005320C1"/>
    <w:rsid w:val="005812B5"/>
    <w:rsid w:val="005826AA"/>
    <w:rsid w:val="00587890"/>
    <w:rsid w:val="00595074"/>
    <w:rsid w:val="00596B02"/>
    <w:rsid w:val="005A34E7"/>
    <w:rsid w:val="005C33E4"/>
    <w:rsid w:val="005C4A1F"/>
    <w:rsid w:val="005E313C"/>
    <w:rsid w:val="0060752D"/>
    <w:rsid w:val="0061737C"/>
    <w:rsid w:val="00630FA8"/>
    <w:rsid w:val="00637CF6"/>
    <w:rsid w:val="00643722"/>
    <w:rsid w:val="006632ED"/>
    <w:rsid w:val="00673300"/>
    <w:rsid w:val="0069679D"/>
    <w:rsid w:val="006A3000"/>
    <w:rsid w:val="006B71D0"/>
    <w:rsid w:val="006C2517"/>
    <w:rsid w:val="006C70F9"/>
    <w:rsid w:val="00701E61"/>
    <w:rsid w:val="007046EC"/>
    <w:rsid w:val="0074790A"/>
    <w:rsid w:val="007F124A"/>
    <w:rsid w:val="00801C28"/>
    <w:rsid w:val="008032D3"/>
    <w:rsid w:val="0081327F"/>
    <w:rsid w:val="0081793F"/>
    <w:rsid w:val="00820C2B"/>
    <w:rsid w:val="0082345C"/>
    <w:rsid w:val="00824CAD"/>
    <w:rsid w:val="00825265"/>
    <w:rsid w:val="0085215C"/>
    <w:rsid w:val="00854F80"/>
    <w:rsid w:val="00855950"/>
    <w:rsid w:val="00864CFC"/>
    <w:rsid w:val="00870314"/>
    <w:rsid w:val="008742F3"/>
    <w:rsid w:val="008861D8"/>
    <w:rsid w:val="008963C9"/>
    <w:rsid w:val="008B2CEA"/>
    <w:rsid w:val="008B44CC"/>
    <w:rsid w:val="008D0CE7"/>
    <w:rsid w:val="008F1F17"/>
    <w:rsid w:val="008F3B26"/>
    <w:rsid w:val="00906F2F"/>
    <w:rsid w:val="00937CD1"/>
    <w:rsid w:val="009509DB"/>
    <w:rsid w:val="00962329"/>
    <w:rsid w:val="00963BF6"/>
    <w:rsid w:val="009925E8"/>
    <w:rsid w:val="0099683F"/>
    <w:rsid w:val="009A0495"/>
    <w:rsid w:val="009A679F"/>
    <w:rsid w:val="009C14E8"/>
    <w:rsid w:val="009C1FF2"/>
    <w:rsid w:val="009C3360"/>
    <w:rsid w:val="009C366C"/>
    <w:rsid w:val="009C3894"/>
    <w:rsid w:val="009E3305"/>
    <w:rsid w:val="009F2120"/>
    <w:rsid w:val="00A10516"/>
    <w:rsid w:val="00A10E07"/>
    <w:rsid w:val="00A15A04"/>
    <w:rsid w:val="00A2299F"/>
    <w:rsid w:val="00A24A42"/>
    <w:rsid w:val="00A62364"/>
    <w:rsid w:val="00A71E2F"/>
    <w:rsid w:val="00A82707"/>
    <w:rsid w:val="00AB68AC"/>
    <w:rsid w:val="00AC0494"/>
    <w:rsid w:val="00AC3123"/>
    <w:rsid w:val="00AF15E8"/>
    <w:rsid w:val="00B0217E"/>
    <w:rsid w:val="00B072B9"/>
    <w:rsid w:val="00B11AEA"/>
    <w:rsid w:val="00B23E71"/>
    <w:rsid w:val="00B265BF"/>
    <w:rsid w:val="00B447E3"/>
    <w:rsid w:val="00B46BE6"/>
    <w:rsid w:val="00B56136"/>
    <w:rsid w:val="00B56381"/>
    <w:rsid w:val="00BA051E"/>
    <w:rsid w:val="00BA41F2"/>
    <w:rsid w:val="00BA43C7"/>
    <w:rsid w:val="00BB2694"/>
    <w:rsid w:val="00BC7DEC"/>
    <w:rsid w:val="00BE4AE8"/>
    <w:rsid w:val="00BE5B19"/>
    <w:rsid w:val="00BF2033"/>
    <w:rsid w:val="00C205FA"/>
    <w:rsid w:val="00C41534"/>
    <w:rsid w:val="00CA38E2"/>
    <w:rsid w:val="00CA4EB4"/>
    <w:rsid w:val="00CA5872"/>
    <w:rsid w:val="00D34802"/>
    <w:rsid w:val="00D62596"/>
    <w:rsid w:val="00D66F99"/>
    <w:rsid w:val="00D7111B"/>
    <w:rsid w:val="00D839BF"/>
    <w:rsid w:val="00D90285"/>
    <w:rsid w:val="00D93D98"/>
    <w:rsid w:val="00DA001F"/>
    <w:rsid w:val="00DA1D28"/>
    <w:rsid w:val="00DB1147"/>
    <w:rsid w:val="00DC1D3D"/>
    <w:rsid w:val="00DE30F2"/>
    <w:rsid w:val="00DE3BF3"/>
    <w:rsid w:val="00DE5AD7"/>
    <w:rsid w:val="00DF78AD"/>
    <w:rsid w:val="00E0775E"/>
    <w:rsid w:val="00E150AF"/>
    <w:rsid w:val="00E21B25"/>
    <w:rsid w:val="00E77531"/>
    <w:rsid w:val="00E8184F"/>
    <w:rsid w:val="00E91D4A"/>
    <w:rsid w:val="00EA6029"/>
    <w:rsid w:val="00EC10E8"/>
    <w:rsid w:val="00EC42DA"/>
    <w:rsid w:val="00F054A8"/>
    <w:rsid w:val="00F14DDA"/>
    <w:rsid w:val="00F22C65"/>
    <w:rsid w:val="00F47D1D"/>
    <w:rsid w:val="00F75C24"/>
    <w:rsid w:val="00F969F1"/>
    <w:rsid w:val="00FB1922"/>
    <w:rsid w:val="00FB2CC0"/>
    <w:rsid w:val="00FB5B9C"/>
    <w:rsid w:val="00FC3FDD"/>
    <w:rsid w:val="00FE60FD"/>
    <w:rsid w:val="00FF2885"/>
    <w:rsid w:val="00FF5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87E8"/>
  <w15:chartTrackingRefBased/>
  <w15:docId w15:val="{039CFD45-09BF-BA48-80A0-FA746959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7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7890"/>
    <w:pPr>
      <w:keepNext/>
      <w:keepLines/>
      <w:spacing w:before="4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FF288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52"/>
    <w:pPr>
      <w:ind w:left="720"/>
      <w:contextualSpacing/>
    </w:pPr>
  </w:style>
  <w:style w:type="paragraph" w:styleId="PlainText">
    <w:name w:val="Plain Text"/>
    <w:basedOn w:val="Normal"/>
    <w:link w:val="PlainTextChar"/>
    <w:uiPriority w:val="99"/>
    <w:semiHidden/>
    <w:unhideWhenUsed/>
    <w:rsid w:val="00343123"/>
    <w:rPr>
      <w:rFonts w:ascii="Calibri" w:hAnsi="Calibri" w:cstheme="minorBidi"/>
      <w:sz w:val="22"/>
      <w:szCs w:val="21"/>
    </w:rPr>
  </w:style>
  <w:style w:type="character" w:customStyle="1" w:styleId="PlainTextChar">
    <w:name w:val="Plain Text Char"/>
    <w:basedOn w:val="DefaultParagraphFont"/>
    <w:link w:val="PlainText"/>
    <w:uiPriority w:val="99"/>
    <w:semiHidden/>
    <w:rsid w:val="00343123"/>
    <w:rPr>
      <w:rFonts w:ascii="Calibri" w:hAnsi="Calibri" w:cstheme="minorBidi"/>
      <w:sz w:val="22"/>
      <w:szCs w:val="21"/>
    </w:rPr>
  </w:style>
  <w:style w:type="paragraph" w:customStyle="1" w:styleId="Default">
    <w:name w:val="Default"/>
    <w:rsid w:val="00587890"/>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587890"/>
    <w:rPr>
      <w:rFonts w:asciiTheme="majorHAnsi" w:eastAsiaTheme="majorEastAsia" w:hAnsiTheme="majorHAnsi" w:cstheme="majorBidi"/>
      <w:color w:val="2F5496" w:themeColor="accent1" w:themeShade="BF"/>
      <w:sz w:val="26"/>
      <w:szCs w:val="26"/>
      <w:lang w:val="en-GB"/>
    </w:rPr>
  </w:style>
  <w:style w:type="character" w:customStyle="1" w:styleId="a-size-large">
    <w:name w:val="a-size-large"/>
    <w:basedOn w:val="DefaultParagraphFont"/>
    <w:rsid w:val="00101A8D"/>
  </w:style>
  <w:style w:type="character" w:customStyle="1" w:styleId="Heading3Char">
    <w:name w:val="Heading 3 Char"/>
    <w:basedOn w:val="DefaultParagraphFont"/>
    <w:link w:val="Heading3"/>
    <w:uiPriority w:val="9"/>
    <w:semiHidden/>
    <w:rsid w:val="00FF288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15A04"/>
    <w:pPr>
      <w:tabs>
        <w:tab w:val="center" w:pos="4680"/>
        <w:tab w:val="right" w:pos="9360"/>
      </w:tabs>
    </w:pPr>
  </w:style>
  <w:style w:type="character" w:customStyle="1" w:styleId="HeaderChar">
    <w:name w:val="Header Char"/>
    <w:basedOn w:val="DefaultParagraphFont"/>
    <w:link w:val="Header"/>
    <w:uiPriority w:val="99"/>
    <w:rsid w:val="00A15A04"/>
  </w:style>
  <w:style w:type="paragraph" w:styleId="Footer">
    <w:name w:val="footer"/>
    <w:basedOn w:val="Normal"/>
    <w:link w:val="FooterChar"/>
    <w:uiPriority w:val="99"/>
    <w:unhideWhenUsed/>
    <w:rsid w:val="00A15A04"/>
    <w:pPr>
      <w:tabs>
        <w:tab w:val="center" w:pos="4680"/>
        <w:tab w:val="right" w:pos="9360"/>
      </w:tabs>
    </w:pPr>
  </w:style>
  <w:style w:type="character" w:customStyle="1" w:styleId="FooterChar">
    <w:name w:val="Footer Char"/>
    <w:basedOn w:val="DefaultParagraphFont"/>
    <w:link w:val="Footer"/>
    <w:uiPriority w:val="99"/>
    <w:rsid w:val="00A15A04"/>
  </w:style>
  <w:style w:type="character" w:styleId="PageNumber">
    <w:name w:val="page number"/>
    <w:basedOn w:val="DefaultParagraphFont"/>
    <w:uiPriority w:val="99"/>
    <w:semiHidden/>
    <w:unhideWhenUsed/>
    <w:rsid w:val="00A15A04"/>
  </w:style>
  <w:style w:type="character" w:styleId="Hyperlink">
    <w:name w:val="Hyperlink"/>
    <w:basedOn w:val="DefaultParagraphFont"/>
    <w:uiPriority w:val="99"/>
    <w:unhideWhenUsed/>
    <w:rsid w:val="00864CFC"/>
    <w:rPr>
      <w:color w:val="0563C1" w:themeColor="hyperlink"/>
      <w:u w:val="single"/>
    </w:rPr>
  </w:style>
  <w:style w:type="character" w:styleId="UnresolvedMention">
    <w:name w:val="Unresolved Mention"/>
    <w:basedOn w:val="DefaultParagraphFont"/>
    <w:uiPriority w:val="99"/>
    <w:semiHidden/>
    <w:unhideWhenUsed/>
    <w:rsid w:val="00864CFC"/>
    <w:rPr>
      <w:color w:val="605E5C"/>
      <w:shd w:val="clear" w:color="auto" w:fill="E1DFDD"/>
    </w:rPr>
  </w:style>
  <w:style w:type="character" w:styleId="FollowedHyperlink">
    <w:name w:val="FollowedHyperlink"/>
    <w:basedOn w:val="DefaultParagraphFont"/>
    <w:uiPriority w:val="99"/>
    <w:semiHidden/>
    <w:unhideWhenUsed/>
    <w:rsid w:val="00B56381"/>
    <w:rPr>
      <w:color w:val="954F72" w:themeColor="followedHyperlink"/>
      <w:u w:val="single"/>
    </w:rPr>
  </w:style>
  <w:style w:type="paragraph" w:styleId="BalloonText">
    <w:name w:val="Balloon Text"/>
    <w:basedOn w:val="Normal"/>
    <w:link w:val="BalloonTextChar"/>
    <w:uiPriority w:val="99"/>
    <w:semiHidden/>
    <w:unhideWhenUsed/>
    <w:rsid w:val="007046EC"/>
    <w:rPr>
      <w:rFonts w:cs="Times New Roman"/>
      <w:sz w:val="18"/>
      <w:szCs w:val="18"/>
    </w:rPr>
  </w:style>
  <w:style w:type="character" w:customStyle="1" w:styleId="BalloonTextChar">
    <w:name w:val="Balloon Text Char"/>
    <w:basedOn w:val="DefaultParagraphFont"/>
    <w:link w:val="BalloonText"/>
    <w:uiPriority w:val="99"/>
    <w:semiHidden/>
    <w:rsid w:val="007046EC"/>
    <w:rPr>
      <w:rFonts w:cs="Times New Roman"/>
      <w:sz w:val="18"/>
      <w:szCs w:val="18"/>
    </w:rPr>
  </w:style>
  <w:style w:type="character" w:customStyle="1" w:styleId="Heading1Char">
    <w:name w:val="Heading 1 Char"/>
    <w:basedOn w:val="DefaultParagraphFont"/>
    <w:link w:val="Heading1"/>
    <w:uiPriority w:val="9"/>
    <w:rsid w:val="00A8270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11070">
      <w:bodyDiv w:val="1"/>
      <w:marLeft w:val="0"/>
      <w:marRight w:val="0"/>
      <w:marTop w:val="0"/>
      <w:marBottom w:val="0"/>
      <w:divBdr>
        <w:top w:val="none" w:sz="0" w:space="0" w:color="auto"/>
        <w:left w:val="none" w:sz="0" w:space="0" w:color="auto"/>
        <w:bottom w:val="none" w:sz="0" w:space="0" w:color="auto"/>
        <w:right w:val="none" w:sz="0" w:space="0" w:color="auto"/>
      </w:divBdr>
      <w:divsChild>
        <w:div w:id="1491676584">
          <w:marLeft w:val="0"/>
          <w:marRight w:val="0"/>
          <w:marTop w:val="0"/>
          <w:marBottom w:val="0"/>
          <w:divBdr>
            <w:top w:val="none" w:sz="0" w:space="0" w:color="auto"/>
            <w:left w:val="none" w:sz="0" w:space="0" w:color="auto"/>
            <w:bottom w:val="none" w:sz="0" w:space="0" w:color="auto"/>
            <w:right w:val="none" w:sz="0" w:space="0" w:color="auto"/>
          </w:divBdr>
          <w:divsChild>
            <w:div w:id="1862665962">
              <w:marLeft w:val="0"/>
              <w:marRight w:val="0"/>
              <w:marTop w:val="0"/>
              <w:marBottom w:val="0"/>
              <w:divBdr>
                <w:top w:val="none" w:sz="0" w:space="0" w:color="auto"/>
                <w:left w:val="none" w:sz="0" w:space="0" w:color="auto"/>
                <w:bottom w:val="none" w:sz="0" w:space="0" w:color="auto"/>
                <w:right w:val="none" w:sz="0" w:space="0" w:color="auto"/>
              </w:divBdr>
              <w:divsChild>
                <w:div w:id="14106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9304">
      <w:bodyDiv w:val="1"/>
      <w:marLeft w:val="0"/>
      <w:marRight w:val="0"/>
      <w:marTop w:val="0"/>
      <w:marBottom w:val="0"/>
      <w:divBdr>
        <w:top w:val="none" w:sz="0" w:space="0" w:color="auto"/>
        <w:left w:val="none" w:sz="0" w:space="0" w:color="auto"/>
        <w:bottom w:val="none" w:sz="0" w:space="0" w:color="auto"/>
        <w:right w:val="none" w:sz="0" w:space="0" w:color="auto"/>
      </w:divBdr>
    </w:div>
    <w:div w:id="773209595">
      <w:bodyDiv w:val="1"/>
      <w:marLeft w:val="0"/>
      <w:marRight w:val="0"/>
      <w:marTop w:val="0"/>
      <w:marBottom w:val="0"/>
      <w:divBdr>
        <w:top w:val="none" w:sz="0" w:space="0" w:color="auto"/>
        <w:left w:val="none" w:sz="0" w:space="0" w:color="auto"/>
        <w:bottom w:val="none" w:sz="0" w:space="0" w:color="auto"/>
        <w:right w:val="none" w:sz="0" w:space="0" w:color="auto"/>
      </w:divBdr>
      <w:divsChild>
        <w:div w:id="1570459665">
          <w:marLeft w:val="0"/>
          <w:marRight w:val="0"/>
          <w:marTop w:val="0"/>
          <w:marBottom w:val="0"/>
          <w:divBdr>
            <w:top w:val="none" w:sz="0" w:space="0" w:color="auto"/>
            <w:left w:val="none" w:sz="0" w:space="0" w:color="auto"/>
            <w:bottom w:val="none" w:sz="0" w:space="0" w:color="auto"/>
            <w:right w:val="none" w:sz="0" w:space="0" w:color="auto"/>
          </w:divBdr>
          <w:divsChild>
            <w:div w:id="1827474305">
              <w:marLeft w:val="0"/>
              <w:marRight w:val="0"/>
              <w:marTop w:val="0"/>
              <w:marBottom w:val="0"/>
              <w:divBdr>
                <w:top w:val="none" w:sz="0" w:space="0" w:color="auto"/>
                <w:left w:val="none" w:sz="0" w:space="0" w:color="auto"/>
                <w:bottom w:val="none" w:sz="0" w:space="0" w:color="auto"/>
                <w:right w:val="none" w:sz="0" w:space="0" w:color="auto"/>
              </w:divBdr>
              <w:divsChild>
                <w:div w:id="17143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9999">
      <w:bodyDiv w:val="1"/>
      <w:marLeft w:val="0"/>
      <w:marRight w:val="0"/>
      <w:marTop w:val="0"/>
      <w:marBottom w:val="0"/>
      <w:divBdr>
        <w:top w:val="none" w:sz="0" w:space="0" w:color="auto"/>
        <w:left w:val="none" w:sz="0" w:space="0" w:color="auto"/>
        <w:bottom w:val="none" w:sz="0" w:space="0" w:color="auto"/>
        <w:right w:val="none" w:sz="0" w:space="0" w:color="auto"/>
      </w:divBdr>
      <w:divsChild>
        <w:div w:id="1660766411">
          <w:marLeft w:val="0"/>
          <w:marRight w:val="0"/>
          <w:marTop w:val="0"/>
          <w:marBottom w:val="0"/>
          <w:divBdr>
            <w:top w:val="none" w:sz="0" w:space="0" w:color="auto"/>
            <w:left w:val="none" w:sz="0" w:space="0" w:color="auto"/>
            <w:bottom w:val="none" w:sz="0" w:space="0" w:color="auto"/>
            <w:right w:val="none" w:sz="0" w:space="0" w:color="auto"/>
          </w:divBdr>
        </w:div>
      </w:divsChild>
    </w:div>
    <w:div w:id="1176265919">
      <w:bodyDiv w:val="1"/>
      <w:marLeft w:val="0"/>
      <w:marRight w:val="0"/>
      <w:marTop w:val="0"/>
      <w:marBottom w:val="0"/>
      <w:divBdr>
        <w:top w:val="none" w:sz="0" w:space="0" w:color="auto"/>
        <w:left w:val="none" w:sz="0" w:space="0" w:color="auto"/>
        <w:bottom w:val="none" w:sz="0" w:space="0" w:color="auto"/>
        <w:right w:val="none" w:sz="0" w:space="0" w:color="auto"/>
      </w:divBdr>
    </w:div>
    <w:div w:id="1235582338">
      <w:bodyDiv w:val="1"/>
      <w:marLeft w:val="0"/>
      <w:marRight w:val="0"/>
      <w:marTop w:val="0"/>
      <w:marBottom w:val="0"/>
      <w:divBdr>
        <w:top w:val="none" w:sz="0" w:space="0" w:color="auto"/>
        <w:left w:val="none" w:sz="0" w:space="0" w:color="auto"/>
        <w:bottom w:val="none" w:sz="0" w:space="0" w:color="auto"/>
        <w:right w:val="none" w:sz="0" w:space="0" w:color="auto"/>
      </w:divBdr>
    </w:div>
    <w:div w:id="1247303805">
      <w:bodyDiv w:val="1"/>
      <w:marLeft w:val="0"/>
      <w:marRight w:val="0"/>
      <w:marTop w:val="0"/>
      <w:marBottom w:val="0"/>
      <w:divBdr>
        <w:top w:val="none" w:sz="0" w:space="0" w:color="auto"/>
        <w:left w:val="none" w:sz="0" w:space="0" w:color="auto"/>
        <w:bottom w:val="none" w:sz="0" w:space="0" w:color="auto"/>
        <w:right w:val="none" w:sz="0" w:space="0" w:color="auto"/>
      </w:divBdr>
    </w:div>
    <w:div w:id="1441560686">
      <w:bodyDiv w:val="1"/>
      <w:marLeft w:val="0"/>
      <w:marRight w:val="0"/>
      <w:marTop w:val="0"/>
      <w:marBottom w:val="0"/>
      <w:divBdr>
        <w:top w:val="none" w:sz="0" w:space="0" w:color="auto"/>
        <w:left w:val="none" w:sz="0" w:space="0" w:color="auto"/>
        <w:bottom w:val="none" w:sz="0" w:space="0" w:color="auto"/>
        <w:right w:val="none" w:sz="0" w:space="0" w:color="auto"/>
      </w:divBdr>
    </w:div>
    <w:div w:id="152616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www.hofstra.edu%2Fprovost%2Fcourse-syllabi-information.html&amp;data=04%7C01%7CSM.Rodriguez%40HOFSTRA.EDU%7C4cbcff354afa4c224ac608d8bf16f72e%7Ce32fc43d7c6246d9b49fcd53ba8d9424%7C0%7C0%7C637469452701343581%7CUnknown%7CTWFpbGZsb3d8eyJWIjoiMC4wLjAwMDAiLCJQIjoiV2luMzIiLCJBTiI6Ik1haWwiLCJXVCI6Mn0%3D%7C1000&amp;sdata=HlD0ucnPfuezdbRh%2FZjYKQIdBq25aoLCer27jVApynI%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sa=t&amp;rct=j&amp;q=&amp;esrc=s&amp;source=web&amp;cd=&amp;cad=rja&amp;uact=8&amp;ved=2ahUKEwjT6M6TsKPuAhWIuVkKHZc8CoIQwqsBMAB6BAgDEAM&amp;url=https%3A%2F%2Fwww.youtube.com%2Fwatch%3Fv%3DbfeGpcmfMBA&amp;usg=AOvVaw3hDsuWERlE0C3jLgmn1X8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Rodriguez</dc:creator>
  <cp:keywords/>
  <dc:description/>
  <cp:lastModifiedBy>SM Rodriguez</cp:lastModifiedBy>
  <cp:revision>120</cp:revision>
  <dcterms:created xsi:type="dcterms:W3CDTF">2021-01-17T02:42:00Z</dcterms:created>
  <dcterms:modified xsi:type="dcterms:W3CDTF">2021-03-17T19:44:00Z</dcterms:modified>
</cp:coreProperties>
</file>